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62CA" w:rsidRPr="006C62CA" w:rsidRDefault="006C62CA" w:rsidP="006C62CA">
      <w:pPr>
        <w:spacing w:after="0" w:line="240" w:lineRule="auto"/>
        <w:jc w:val="center"/>
        <w:rPr>
          <w:rFonts w:asciiTheme="minorHAnsi" w:eastAsia="Calibri" w:hAnsiTheme="minorHAnsi" w:cstheme="minorHAnsi"/>
          <w:b/>
          <w:bCs/>
          <w:sz w:val="32"/>
          <w:szCs w:val="32"/>
        </w:rPr>
      </w:pPr>
      <w:proofErr w:type="spellStart"/>
      <w:r w:rsidRPr="006C62CA">
        <w:rPr>
          <w:rFonts w:asciiTheme="minorHAnsi" w:eastAsia="Calibri" w:hAnsiTheme="minorHAnsi" w:cstheme="minorHAnsi"/>
          <w:b/>
          <w:bCs/>
          <w:sz w:val="32"/>
          <w:szCs w:val="32"/>
        </w:rPr>
        <w:t>Tiree</w:t>
      </w:r>
      <w:proofErr w:type="spellEnd"/>
      <w:r w:rsidRPr="006C62CA">
        <w:rPr>
          <w:rFonts w:asciiTheme="minorHAnsi" w:eastAsia="Calibri" w:hAnsiTheme="minorHAnsi" w:cstheme="minorHAnsi"/>
          <w:b/>
          <w:bCs/>
          <w:sz w:val="32"/>
          <w:szCs w:val="32"/>
        </w:rPr>
        <w:t xml:space="preserve"> Community Council </w:t>
      </w:r>
      <w:r w:rsidRPr="006C62CA">
        <w:rPr>
          <w:rFonts w:asciiTheme="minorHAnsi" w:hAnsiTheme="minorHAnsi" w:cstheme="minorHAnsi"/>
          <w:b/>
          <w:bCs/>
          <w:noProof/>
          <w:sz w:val="32"/>
          <w:szCs w:val="32"/>
        </w:rPr>
        <mc:AlternateContent>
          <mc:Choice Requires="wps">
            <w:drawing>
              <wp:anchor distT="0" distB="0" distL="114300" distR="114300" simplePos="0" relativeHeight="251659264" behindDoc="0" locked="0" layoutInCell="1" hidden="0" allowOverlap="1" wp14:anchorId="73232BA1" wp14:editId="274DC0BE">
                <wp:simplePos x="0" y="0"/>
                <wp:positionH relativeFrom="column">
                  <wp:posOffset>8331200</wp:posOffset>
                </wp:positionH>
                <wp:positionV relativeFrom="paragraph">
                  <wp:posOffset>-342899</wp:posOffset>
                </wp:positionV>
                <wp:extent cx="307340" cy="923925"/>
                <wp:effectExtent l="0" t="0" r="0" b="0"/>
                <wp:wrapSquare wrapText="bothSides" distT="0" distB="0" distL="114300" distR="114300"/>
                <wp:docPr id="192" name="Rectangle 192"/>
                <wp:cNvGraphicFramePr/>
                <a:graphic xmlns:a="http://schemas.openxmlformats.org/drawingml/2006/main">
                  <a:graphicData uri="http://schemas.microsoft.com/office/word/2010/wordprocessingShape">
                    <wps:wsp>
                      <wps:cNvSpPr/>
                      <wps:spPr>
                        <a:xfrm>
                          <a:off x="5197093" y="3322800"/>
                          <a:ext cx="297815" cy="914400"/>
                        </a:xfrm>
                        <a:prstGeom prst="rect">
                          <a:avLst/>
                        </a:prstGeom>
                        <a:noFill/>
                        <a:ln>
                          <a:noFill/>
                        </a:ln>
                      </wps:spPr>
                      <wps:txbx>
                        <w:txbxContent>
                          <w:p w:rsidR="006C62CA" w:rsidRDefault="006C62CA" w:rsidP="006C62C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3232BA1" id="Rectangle 192" o:spid="_x0000_s1026" style="position:absolute;left:0;text-align:left;margin-left:656pt;margin-top:-27pt;width:24.2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" filled="f" stroked="f">
                <v:textbox inset="2.53958mm,1.2694mm,2.53958mm,1.2694mm">
                  <w:txbxContent>
                    <w:p w:rsidR="006C62CA" w:rsidRDefault="006C62CA" w:rsidP="006C62CA">
                      <w:pPr>
                        <w:spacing w:line="275" w:lineRule="auto"/>
                        <w:textDirection w:val="btLr"/>
                      </w:pPr>
                    </w:p>
                  </w:txbxContent>
                </v:textbox>
                <w10:wrap type="square"/>
              </v:rect>
            </w:pict>
          </mc:Fallback>
        </mc:AlternateContent>
      </w:r>
    </w:p>
    <w:p w:rsidR="006C62CA" w:rsidRPr="006C62CA" w:rsidRDefault="006C62CA" w:rsidP="006C62CA">
      <w:pPr>
        <w:spacing w:after="0" w:line="240" w:lineRule="auto"/>
        <w:jc w:val="center"/>
        <w:rPr>
          <w:rFonts w:asciiTheme="minorHAnsi" w:eastAsia="Calibri" w:hAnsiTheme="minorHAnsi" w:cstheme="minorHAnsi"/>
          <w:b/>
          <w:sz w:val="32"/>
          <w:szCs w:val="32"/>
        </w:rPr>
      </w:pPr>
      <w:r w:rsidRPr="006C62CA">
        <w:rPr>
          <w:rFonts w:asciiTheme="minorHAnsi" w:eastAsia="Calibri" w:hAnsiTheme="minorHAnsi" w:cstheme="minorHAnsi"/>
          <w:b/>
          <w:sz w:val="32"/>
          <w:szCs w:val="32"/>
        </w:rPr>
        <w:t>Planning Policy</w:t>
      </w:r>
    </w:p>
    <w:p w:rsidR="006C62CA" w:rsidRDefault="006C62CA" w:rsidP="006C62CA">
      <w:pPr>
        <w:jc w:val="both"/>
        <w:rPr>
          <w:rFonts w:asciiTheme="minorHAnsi" w:eastAsia="Arial" w:hAnsiTheme="minorHAnsi" w:cstheme="minorHAnsi"/>
          <w:b/>
          <w:sz w:val="24"/>
          <w:szCs w:val="24"/>
        </w:rPr>
      </w:pPr>
    </w:p>
    <w:p w:rsidR="006C62CA" w:rsidRPr="006C62CA" w:rsidRDefault="006C62CA" w:rsidP="006C62CA">
      <w:pPr>
        <w:pStyle w:val="ListParagraph"/>
        <w:numPr>
          <w:ilvl w:val="0"/>
          <w:numId w:val="6"/>
        </w:numPr>
        <w:jc w:val="both"/>
        <w:rPr>
          <w:rFonts w:asciiTheme="minorHAnsi" w:eastAsia="Arial" w:hAnsiTheme="minorHAnsi" w:cstheme="minorHAnsi"/>
          <w:b/>
          <w:sz w:val="24"/>
          <w:szCs w:val="24"/>
        </w:rPr>
      </w:pPr>
      <w:r w:rsidRPr="006C62CA">
        <w:rPr>
          <w:rFonts w:asciiTheme="minorHAnsi" w:eastAsia="Arial" w:hAnsiTheme="minorHAnsi" w:cstheme="minorHAnsi"/>
          <w:b/>
          <w:sz w:val="24"/>
          <w:szCs w:val="24"/>
        </w:rPr>
        <w:t xml:space="preserve">Introduction: the need for an updated planning policy for </w:t>
      </w:r>
      <w:proofErr w:type="spellStart"/>
      <w:r w:rsidRPr="006C62CA">
        <w:rPr>
          <w:rFonts w:asciiTheme="minorHAnsi" w:eastAsia="Arial" w:hAnsiTheme="minorHAnsi" w:cstheme="minorHAnsi"/>
          <w:b/>
          <w:sz w:val="24"/>
          <w:szCs w:val="24"/>
        </w:rPr>
        <w:t>Tiree</w:t>
      </w:r>
      <w:proofErr w:type="spellEnd"/>
      <w:r w:rsidRPr="006C62CA">
        <w:rPr>
          <w:rFonts w:asciiTheme="minorHAnsi" w:eastAsia="Arial" w:hAnsiTheme="minorHAnsi" w:cstheme="minorHAnsi"/>
          <w:b/>
          <w:sz w:val="24"/>
          <w:szCs w:val="24"/>
        </w:rPr>
        <w:t xml:space="preserve"> Community Council</w:t>
      </w:r>
    </w:p>
    <w:p w:rsidR="006C62CA" w:rsidRPr="006C62CA" w:rsidRDefault="006C62CA" w:rsidP="006C62CA">
      <w:pPr>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The Scottish Government published guidance in a 1996 Planning Advice Note (PAN) 47. This included two relevant passages:</w:t>
      </w:r>
    </w:p>
    <w:p w:rsidR="006C62CA" w:rsidRPr="006C62CA" w:rsidRDefault="006C62CA" w:rsidP="006C62CA">
      <w:pPr>
        <w:numPr>
          <w:ilvl w:val="0"/>
          <w:numId w:val="2"/>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‘The Government is keen to see an effective community council network able to play its part in considering planning issues of local concern’ (para. 1), and</w:t>
      </w:r>
    </w:p>
    <w:p w:rsidR="006C62CA" w:rsidRPr="006C62CA" w:rsidRDefault="006C62CA" w:rsidP="006C62CA">
      <w:pPr>
        <w:numPr>
          <w:ilvl w:val="0"/>
          <w:numId w:val="2"/>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‘The Government considers that the community council has a special role, representing a broader yet still local view which can be set alongside the comments of those with a more individual interest’ (para. 7)</w:t>
      </w:r>
    </w:p>
    <w:p w:rsidR="006C62CA" w:rsidRPr="006C62CA" w:rsidRDefault="006C62CA" w:rsidP="006C62CA">
      <w:pPr>
        <w:pStyle w:val="ListParagraph"/>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 xml:space="preserve">Argyll and Bute Council’s </w:t>
      </w:r>
      <w:r w:rsidRPr="006C62CA">
        <w:rPr>
          <w:rFonts w:asciiTheme="minorHAnsi" w:eastAsia="Arial" w:hAnsiTheme="minorHAnsi" w:cstheme="minorHAnsi"/>
          <w:i/>
          <w:color w:val="000000"/>
          <w:sz w:val="24"/>
          <w:szCs w:val="24"/>
        </w:rPr>
        <w:t>Community Council Handbook 2019</w:t>
      </w:r>
      <w:r w:rsidRPr="006C62CA">
        <w:rPr>
          <w:rFonts w:asciiTheme="minorHAnsi" w:eastAsia="Arial" w:hAnsiTheme="minorHAnsi" w:cstheme="minorHAnsi"/>
          <w:color w:val="000000"/>
          <w:sz w:val="24"/>
          <w:szCs w:val="24"/>
        </w:rPr>
        <w:t xml:space="preserve"> states that, ‘Planning is often a key concern of Community Councils and to the public in their area. Many Community Councils have a regular slot on their Agenda to deal with planning matters’ (page 14).</w:t>
      </w:r>
    </w:p>
    <w:p w:rsidR="006C62CA" w:rsidRPr="006C62CA" w:rsidRDefault="006C62CA" w:rsidP="006C62CA">
      <w:pPr>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 xml:space="preserve">The number of new applications for dwelling houses is growing. </w:t>
      </w:r>
    </w:p>
    <w:p w:rsidR="006C62CA" w:rsidRPr="006C62CA" w:rsidRDefault="006C62CA" w:rsidP="006C62CA">
      <w:pPr>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The current TCC has therefore updated its 2015 Planning Policy, in the hope that its future involvement in planning will be transparent, consistent, fair, and supported by the community.</w:t>
      </w:r>
    </w:p>
    <w:p w:rsidR="006C62CA" w:rsidRPr="006C62CA" w:rsidRDefault="006C62CA" w:rsidP="006C62CA">
      <w:pPr>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 xml:space="preserve">Argyll and Bute Council’s existing planning process allows individuals to state their views about any planning application. These views guide Planning Officers and Councillors in reaching planning decisions. TCC can add value to this process by offering a ‘broader yet still local view’ of whether an application brings social, cultural or economic benefits or harms to the community. </w:t>
      </w:r>
    </w:p>
    <w:p w:rsidR="006C62CA" w:rsidRPr="006C62CA" w:rsidRDefault="006C62CA" w:rsidP="006C62CA">
      <w:pPr>
        <w:numPr>
          <w:ilvl w:val="0"/>
          <w:numId w:val="1"/>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TCC will also play an active role in the five-yearly consultation for the Local Development Plan, which sets the framework for all planning decisions. The current LDP2 is set for adoption in Feb 2022, and the next LDP consultation is due in autumn 2024.</w:t>
      </w:r>
    </w:p>
    <w:p w:rsidR="006C62CA" w:rsidRDefault="006C62CA" w:rsidP="006C62CA">
      <w:pPr>
        <w:numPr>
          <w:ilvl w:val="0"/>
          <w:numId w:val="1"/>
        </w:numPr>
        <w:pBdr>
          <w:top w:val="nil"/>
          <w:left w:val="nil"/>
          <w:bottom w:val="nil"/>
          <w:right w:val="nil"/>
          <w:between w:val="nil"/>
        </w:pBdr>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TCC Planning Policy 2021 supersedes the TCC Planning Policy 2015.</w:t>
      </w:r>
    </w:p>
    <w:p w:rsidR="006C62CA" w:rsidRPr="006C62CA" w:rsidRDefault="006C62CA" w:rsidP="006C62CA">
      <w:pPr>
        <w:pBdr>
          <w:top w:val="nil"/>
          <w:left w:val="nil"/>
          <w:bottom w:val="nil"/>
          <w:right w:val="nil"/>
          <w:between w:val="nil"/>
        </w:pBdr>
        <w:ind w:left="720"/>
        <w:jc w:val="both"/>
        <w:rPr>
          <w:rFonts w:asciiTheme="minorHAnsi" w:eastAsia="Arial" w:hAnsiTheme="minorHAnsi" w:cstheme="minorHAnsi"/>
          <w:color w:val="000000"/>
          <w:sz w:val="24"/>
          <w:szCs w:val="24"/>
        </w:rPr>
      </w:pPr>
    </w:p>
    <w:p w:rsidR="006C62CA" w:rsidRPr="006C62CA" w:rsidRDefault="006C62CA" w:rsidP="006C62CA">
      <w:pPr>
        <w:pStyle w:val="ListParagraph"/>
        <w:numPr>
          <w:ilvl w:val="0"/>
          <w:numId w:val="6"/>
        </w:numPr>
        <w:jc w:val="both"/>
        <w:rPr>
          <w:rFonts w:asciiTheme="minorHAnsi" w:eastAsia="Arial" w:hAnsiTheme="minorHAnsi" w:cstheme="minorHAnsi"/>
          <w:b/>
          <w:sz w:val="24"/>
          <w:szCs w:val="24"/>
        </w:rPr>
      </w:pPr>
      <w:r w:rsidRPr="006C62CA">
        <w:rPr>
          <w:rFonts w:asciiTheme="minorHAnsi" w:eastAsia="Arial" w:hAnsiTheme="minorHAnsi" w:cstheme="minorHAnsi"/>
          <w:b/>
          <w:sz w:val="24"/>
          <w:szCs w:val="24"/>
        </w:rPr>
        <w:t>Classification of Planning Applications</w:t>
      </w:r>
    </w:p>
    <w:p w:rsidR="006C62CA" w:rsidRPr="006C62CA" w:rsidRDefault="006C62CA" w:rsidP="006C62CA">
      <w:pPr>
        <w:jc w:val="both"/>
        <w:rPr>
          <w:rFonts w:asciiTheme="minorHAnsi" w:eastAsia="Arial" w:hAnsiTheme="minorHAnsi" w:cstheme="minorHAnsi"/>
          <w:sz w:val="24"/>
          <w:szCs w:val="24"/>
        </w:rPr>
      </w:pPr>
      <w:r w:rsidRPr="006C62CA">
        <w:rPr>
          <w:rFonts w:asciiTheme="minorHAnsi" w:eastAsia="Arial" w:hAnsiTheme="minorHAnsi" w:cstheme="minorHAnsi"/>
          <w:sz w:val="24"/>
          <w:szCs w:val="24"/>
        </w:rPr>
        <w:t>Planning applications are classified by the relevant planning authority – usually Argyll and Bute Council but sometimes the Scottish Government – according to their scale and impact:</w:t>
      </w:r>
    </w:p>
    <w:p w:rsidR="006C62CA" w:rsidRPr="006C62CA" w:rsidRDefault="006C62CA" w:rsidP="006C62CA">
      <w:pPr>
        <w:numPr>
          <w:ilvl w:val="0"/>
          <w:numId w:val="3"/>
        </w:numPr>
        <w:pBdr>
          <w:top w:val="nil"/>
          <w:left w:val="nil"/>
          <w:bottom w:val="nil"/>
          <w:right w:val="nil"/>
          <w:between w:val="nil"/>
        </w:pBdr>
        <w:spacing w:after="0"/>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 xml:space="preserve">A </w:t>
      </w:r>
      <w:r w:rsidRPr="006C62CA">
        <w:rPr>
          <w:rFonts w:asciiTheme="minorHAnsi" w:eastAsia="Arial" w:hAnsiTheme="minorHAnsi" w:cstheme="minorHAnsi"/>
          <w:b/>
          <w:color w:val="000000"/>
          <w:sz w:val="24"/>
          <w:szCs w:val="24"/>
        </w:rPr>
        <w:t xml:space="preserve">National </w:t>
      </w:r>
      <w:r w:rsidRPr="006C62CA">
        <w:rPr>
          <w:rFonts w:asciiTheme="minorHAnsi" w:eastAsia="Arial" w:hAnsiTheme="minorHAnsi" w:cstheme="minorHAnsi"/>
          <w:color w:val="000000"/>
          <w:sz w:val="24"/>
          <w:szCs w:val="24"/>
        </w:rPr>
        <w:t xml:space="preserve">application is of strategic national importance: for example, an onshore converter station for an off-shore energy project. </w:t>
      </w:r>
    </w:p>
    <w:p w:rsidR="006C62CA" w:rsidRPr="006C62CA" w:rsidRDefault="006C62CA" w:rsidP="006C62CA">
      <w:pPr>
        <w:numPr>
          <w:ilvl w:val="0"/>
          <w:numId w:val="3"/>
        </w:numPr>
        <w:pBdr>
          <w:top w:val="nil"/>
          <w:left w:val="nil"/>
          <w:bottom w:val="nil"/>
          <w:right w:val="nil"/>
          <w:between w:val="nil"/>
        </w:pBdr>
        <w:jc w:val="both"/>
        <w:rPr>
          <w:rFonts w:asciiTheme="minorHAnsi" w:eastAsia="Arial" w:hAnsiTheme="minorHAnsi" w:cstheme="minorHAnsi"/>
          <w:color w:val="000000"/>
          <w:sz w:val="24"/>
          <w:szCs w:val="24"/>
        </w:rPr>
      </w:pPr>
      <w:r w:rsidRPr="006C62CA">
        <w:rPr>
          <w:rFonts w:asciiTheme="minorHAnsi" w:eastAsia="Arial" w:hAnsiTheme="minorHAnsi" w:cstheme="minorHAnsi"/>
          <w:color w:val="000000"/>
          <w:sz w:val="24"/>
          <w:szCs w:val="24"/>
        </w:rPr>
        <w:t xml:space="preserve">A </w:t>
      </w:r>
      <w:r w:rsidRPr="006C62CA">
        <w:rPr>
          <w:rFonts w:asciiTheme="minorHAnsi" w:eastAsia="Arial" w:hAnsiTheme="minorHAnsi" w:cstheme="minorHAnsi"/>
          <w:b/>
          <w:color w:val="000000"/>
          <w:sz w:val="24"/>
          <w:szCs w:val="24"/>
        </w:rPr>
        <w:t>Major</w:t>
      </w:r>
      <w:r w:rsidRPr="006C62CA">
        <w:rPr>
          <w:rFonts w:asciiTheme="minorHAnsi" w:eastAsia="Arial" w:hAnsiTheme="minorHAnsi" w:cstheme="minorHAnsi"/>
          <w:color w:val="000000"/>
          <w:sz w:val="24"/>
          <w:szCs w:val="24"/>
        </w:rPr>
        <w:t xml:space="preserve"> application is not of strategic national importance but does impact substantially on the island: for example, a large housing development. </w:t>
      </w:r>
    </w:p>
    <w:p w:rsidR="006C62CA" w:rsidRPr="006C62CA" w:rsidRDefault="006C62CA" w:rsidP="006C62CA">
      <w:pPr>
        <w:jc w:val="both"/>
        <w:rPr>
          <w:rFonts w:asciiTheme="minorHAnsi" w:eastAsia="Arial" w:hAnsiTheme="minorHAnsi" w:cstheme="minorHAnsi"/>
          <w:sz w:val="24"/>
          <w:szCs w:val="24"/>
        </w:rPr>
      </w:pPr>
      <w:r w:rsidRPr="006C62CA">
        <w:rPr>
          <w:rFonts w:asciiTheme="minorHAnsi" w:eastAsia="Arial" w:hAnsiTheme="minorHAnsi" w:cstheme="minorHAnsi"/>
          <w:sz w:val="24"/>
          <w:szCs w:val="24"/>
        </w:rPr>
        <w:lastRenderedPageBreak/>
        <w:t>TCC, as a statutory consultee, will be approached directly by the developer and Argyll and Bute Council prior to the lodging of a National or Major application. TCC would also be invited to attend and contribute to any relevant public consultations. Our role is to represent the full range of views from the island community after wide consultation.</w:t>
      </w:r>
    </w:p>
    <w:p w:rsidR="006C62CA" w:rsidRDefault="006C62CA" w:rsidP="006C62CA">
      <w:pPr>
        <w:numPr>
          <w:ilvl w:val="0"/>
          <w:numId w:val="3"/>
        </w:numPr>
        <w:pBdr>
          <w:top w:val="nil"/>
          <w:left w:val="nil"/>
          <w:bottom w:val="nil"/>
          <w:right w:val="nil"/>
          <w:between w:val="nil"/>
        </w:pBdr>
        <w:jc w:val="both"/>
        <w:rPr>
          <w:rFonts w:asciiTheme="minorHAnsi" w:eastAsia="Arial" w:hAnsiTheme="minorHAnsi" w:cstheme="minorHAnsi"/>
          <w:color w:val="000000"/>
          <w:sz w:val="24"/>
          <w:szCs w:val="24"/>
        </w:rPr>
      </w:pPr>
      <w:r w:rsidRPr="006C62CA">
        <w:rPr>
          <w:rFonts w:asciiTheme="minorHAnsi" w:eastAsia="Arial" w:hAnsiTheme="minorHAnsi" w:cstheme="minorHAnsi"/>
          <w:b/>
          <w:color w:val="000000"/>
          <w:sz w:val="24"/>
          <w:szCs w:val="24"/>
        </w:rPr>
        <w:t xml:space="preserve">Local </w:t>
      </w:r>
      <w:r w:rsidRPr="006C62CA">
        <w:rPr>
          <w:rFonts w:asciiTheme="minorHAnsi" w:eastAsia="Arial" w:hAnsiTheme="minorHAnsi" w:cstheme="minorHAnsi"/>
          <w:color w:val="000000"/>
          <w:sz w:val="24"/>
          <w:szCs w:val="24"/>
        </w:rPr>
        <w:t>applications constitute the vast majority.</w:t>
      </w:r>
    </w:p>
    <w:p w:rsidR="006C62CA" w:rsidRPr="006C62CA" w:rsidRDefault="006C62CA" w:rsidP="006C62CA">
      <w:pPr>
        <w:pBdr>
          <w:top w:val="nil"/>
          <w:left w:val="nil"/>
          <w:bottom w:val="nil"/>
          <w:right w:val="nil"/>
          <w:between w:val="nil"/>
        </w:pBdr>
        <w:ind w:left="360"/>
        <w:jc w:val="both"/>
        <w:rPr>
          <w:rFonts w:asciiTheme="minorHAnsi" w:eastAsia="Arial" w:hAnsiTheme="minorHAnsi" w:cstheme="minorHAnsi"/>
          <w:color w:val="000000"/>
          <w:sz w:val="24"/>
          <w:szCs w:val="24"/>
        </w:rPr>
      </w:pPr>
    </w:p>
    <w:p w:rsidR="006C62CA" w:rsidRPr="006C62CA" w:rsidRDefault="006C62CA" w:rsidP="006C62CA">
      <w:pPr>
        <w:pStyle w:val="ListParagraph"/>
        <w:numPr>
          <w:ilvl w:val="0"/>
          <w:numId w:val="6"/>
        </w:numPr>
        <w:jc w:val="both"/>
        <w:rPr>
          <w:rFonts w:asciiTheme="minorHAnsi" w:eastAsia="Arial" w:hAnsiTheme="minorHAnsi" w:cstheme="minorHAnsi"/>
          <w:b/>
          <w:sz w:val="24"/>
          <w:szCs w:val="24"/>
        </w:rPr>
      </w:pPr>
      <w:r w:rsidRPr="006C62CA">
        <w:rPr>
          <w:rFonts w:asciiTheme="minorHAnsi" w:eastAsia="Arial" w:hAnsiTheme="minorHAnsi" w:cstheme="minorHAnsi"/>
          <w:b/>
          <w:sz w:val="24"/>
          <w:szCs w:val="24"/>
        </w:rPr>
        <w:t>The Scope of TCC Planning Policy</w:t>
      </w:r>
    </w:p>
    <w:p w:rsidR="006C62CA" w:rsidRPr="006C62CA" w:rsidRDefault="006C62CA" w:rsidP="006C62CA">
      <w:pPr>
        <w:jc w:val="both"/>
        <w:rPr>
          <w:rFonts w:asciiTheme="minorHAnsi" w:eastAsia="Arial" w:hAnsiTheme="minorHAnsi" w:cstheme="minorHAnsi"/>
          <w:color w:val="000000"/>
          <w:sz w:val="24"/>
          <w:szCs w:val="24"/>
        </w:rPr>
      </w:pPr>
      <w:r w:rsidRPr="006C62CA">
        <w:rPr>
          <w:rFonts w:asciiTheme="minorHAnsi" w:eastAsia="Arial" w:hAnsiTheme="minorHAnsi" w:cstheme="minorHAnsi"/>
          <w:sz w:val="24"/>
          <w:szCs w:val="24"/>
        </w:rPr>
        <w:t>It is</w:t>
      </w:r>
      <w:r w:rsidRPr="006C62CA">
        <w:rPr>
          <w:rFonts w:asciiTheme="minorHAnsi" w:eastAsia="Arial" w:hAnsiTheme="minorHAnsi" w:cstheme="minorHAnsi"/>
          <w:color w:val="000000"/>
          <w:sz w:val="24"/>
          <w:szCs w:val="24"/>
        </w:rPr>
        <w:t xml:space="preserve"> not the intention of TCC to involve itself in the vast majority of planning applications. </w:t>
      </w:r>
    </w:p>
    <w:p w:rsidR="006C62CA" w:rsidRPr="006C62CA" w:rsidRDefault="006C62CA" w:rsidP="006C62CA">
      <w:pPr>
        <w:jc w:val="both"/>
        <w:rPr>
          <w:rFonts w:asciiTheme="minorHAnsi" w:eastAsia="Arial" w:hAnsiTheme="minorHAnsi" w:cstheme="minorHAnsi"/>
          <w:color w:val="222222"/>
          <w:sz w:val="24"/>
          <w:szCs w:val="24"/>
        </w:rPr>
      </w:pPr>
      <w:r w:rsidRPr="006C62CA">
        <w:rPr>
          <w:rFonts w:asciiTheme="minorHAnsi" w:eastAsia="Arial" w:hAnsiTheme="minorHAnsi" w:cstheme="minorHAnsi"/>
          <w:color w:val="000000"/>
          <w:sz w:val="24"/>
          <w:szCs w:val="24"/>
        </w:rPr>
        <w:t>However, if any of the following apply to a Local Application:</w:t>
      </w:r>
    </w:p>
    <w:p w:rsidR="006C62CA" w:rsidRPr="006C62CA" w:rsidRDefault="006C62CA" w:rsidP="006C62CA">
      <w:pPr>
        <w:numPr>
          <w:ilvl w:val="0"/>
          <w:numId w:val="4"/>
        </w:numPr>
        <w:pBdr>
          <w:top w:val="nil"/>
          <w:left w:val="nil"/>
          <w:bottom w:val="nil"/>
          <w:right w:val="nil"/>
          <w:between w:val="nil"/>
        </w:pBdr>
        <w:spacing w:after="0"/>
        <w:jc w:val="both"/>
        <w:rPr>
          <w:rFonts w:asciiTheme="minorHAnsi" w:eastAsia="Arial" w:hAnsiTheme="minorHAnsi" w:cstheme="minorHAnsi"/>
          <w:color w:val="222222"/>
          <w:sz w:val="24"/>
          <w:szCs w:val="24"/>
        </w:rPr>
      </w:pPr>
      <w:r w:rsidRPr="006C62CA">
        <w:rPr>
          <w:rFonts w:asciiTheme="minorHAnsi" w:eastAsia="Times New Roman" w:hAnsiTheme="minorHAnsi" w:cstheme="minorHAnsi"/>
          <w:color w:val="444444"/>
          <w:sz w:val="24"/>
          <w:szCs w:val="24"/>
          <w:bdr w:val="none" w:sz="0" w:space="0" w:color="auto" w:frame="1"/>
        </w:rPr>
        <w:t>It generates eleven or more comments from island residents to the Community Council or the Argyll and Bute Planning Portal.</w:t>
      </w:r>
      <w:r w:rsidRPr="006C62CA">
        <w:rPr>
          <w:rFonts w:asciiTheme="minorHAnsi" w:eastAsia="Times New Roman" w:hAnsiTheme="minorHAnsi" w:cstheme="minorHAnsi"/>
          <w:color w:val="444444"/>
          <w:sz w:val="24"/>
          <w:szCs w:val="24"/>
          <w:bdr w:val="none" w:sz="0" w:space="0" w:color="auto" w:frame="1"/>
        </w:rPr>
        <w:t xml:space="preserve"> </w:t>
      </w:r>
      <w:r w:rsidRPr="006C62CA">
        <w:rPr>
          <w:rFonts w:asciiTheme="minorHAnsi" w:eastAsia="Arial" w:hAnsiTheme="minorHAnsi" w:cstheme="minorHAnsi"/>
          <w:color w:val="000000"/>
          <w:sz w:val="24"/>
          <w:szCs w:val="24"/>
        </w:rPr>
        <w:t>These may be made in confidence</w:t>
      </w:r>
    </w:p>
    <w:p w:rsidR="006C62CA" w:rsidRPr="006C62CA" w:rsidRDefault="006C62CA" w:rsidP="006C62CA">
      <w:pPr>
        <w:numPr>
          <w:ilvl w:val="0"/>
          <w:numId w:val="4"/>
        </w:numPr>
        <w:pBdr>
          <w:top w:val="nil"/>
          <w:left w:val="nil"/>
          <w:bottom w:val="nil"/>
          <w:right w:val="nil"/>
          <w:between w:val="nil"/>
        </w:pBdr>
        <w:spacing w:after="0"/>
        <w:jc w:val="both"/>
        <w:rPr>
          <w:rFonts w:asciiTheme="minorHAnsi" w:eastAsia="Arial" w:hAnsiTheme="minorHAnsi" w:cstheme="minorHAnsi"/>
          <w:color w:val="222222"/>
          <w:sz w:val="24"/>
          <w:szCs w:val="24"/>
        </w:rPr>
      </w:pPr>
      <w:r w:rsidRPr="006C62CA">
        <w:rPr>
          <w:rFonts w:asciiTheme="minorHAnsi" w:eastAsia="Arial" w:hAnsiTheme="minorHAnsi" w:cstheme="minorHAnsi"/>
          <w:color w:val="000000"/>
          <w:sz w:val="24"/>
          <w:szCs w:val="24"/>
        </w:rPr>
        <w:t>It represents a significant departure from Argyll and Bute’s current Local Development Plan</w:t>
      </w:r>
    </w:p>
    <w:p w:rsidR="006C62CA" w:rsidRPr="006C62CA" w:rsidRDefault="006C62CA" w:rsidP="006C62CA">
      <w:pPr>
        <w:numPr>
          <w:ilvl w:val="0"/>
          <w:numId w:val="4"/>
        </w:numPr>
        <w:pBdr>
          <w:top w:val="nil"/>
          <w:left w:val="nil"/>
          <w:bottom w:val="nil"/>
          <w:right w:val="nil"/>
          <w:between w:val="nil"/>
        </w:pBdr>
        <w:spacing w:after="0"/>
        <w:jc w:val="both"/>
        <w:rPr>
          <w:rFonts w:asciiTheme="minorHAnsi" w:eastAsia="Arial" w:hAnsiTheme="minorHAnsi" w:cstheme="minorHAnsi"/>
          <w:color w:val="222222"/>
          <w:sz w:val="24"/>
          <w:szCs w:val="24"/>
        </w:rPr>
      </w:pPr>
      <w:r w:rsidRPr="006C62CA">
        <w:rPr>
          <w:rFonts w:asciiTheme="minorHAnsi" w:eastAsia="Arial" w:hAnsiTheme="minorHAnsi" w:cstheme="minorHAnsi"/>
          <w:color w:val="000000"/>
          <w:sz w:val="24"/>
          <w:szCs w:val="24"/>
        </w:rPr>
        <w:t xml:space="preserve">It raises one or more important matters of principle for the island. Currently, these principles include supporting an increase in the resident population of </w:t>
      </w:r>
      <w:proofErr w:type="spellStart"/>
      <w:r w:rsidRPr="006C62CA">
        <w:rPr>
          <w:rFonts w:asciiTheme="minorHAnsi" w:eastAsia="Arial" w:hAnsiTheme="minorHAnsi" w:cstheme="minorHAnsi"/>
          <w:color w:val="000000"/>
          <w:sz w:val="24"/>
          <w:szCs w:val="24"/>
        </w:rPr>
        <w:t>Tiree</w:t>
      </w:r>
      <w:proofErr w:type="spellEnd"/>
    </w:p>
    <w:p w:rsidR="006C62CA" w:rsidRPr="006C62CA" w:rsidRDefault="006C62CA" w:rsidP="006C62CA">
      <w:pPr>
        <w:numPr>
          <w:ilvl w:val="0"/>
          <w:numId w:val="4"/>
        </w:numPr>
        <w:pBdr>
          <w:top w:val="nil"/>
          <w:left w:val="nil"/>
          <w:bottom w:val="nil"/>
          <w:right w:val="nil"/>
          <w:between w:val="nil"/>
        </w:pBdr>
        <w:spacing w:after="0"/>
        <w:jc w:val="both"/>
        <w:rPr>
          <w:rFonts w:asciiTheme="minorHAnsi" w:eastAsia="Arial" w:hAnsiTheme="minorHAnsi" w:cstheme="minorHAnsi"/>
          <w:color w:val="222222"/>
          <w:sz w:val="24"/>
          <w:szCs w:val="24"/>
        </w:rPr>
      </w:pPr>
      <w:r w:rsidRPr="006C62CA">
        <w:rPr>
          <w:rFonts w:asciiTheme="minorHAnsi" w:eastAsia="Arial" w:hAnsiTheme="minorHAnsi" w:cstheme="minorHAnsi"/>
          <w:color w:val="000000"/>
          <w:sz w:val="24"/>
          <w:szCs w:val="24"/>
        </w:rPr>
        <w:t>It might reasonably be predicted to have an impact on the broader community</w:t>
      </w:r>
      <w:r w:rsidRPr="006C62CA">
        <w:rPr>
          <w:rFonts w:asciiTheme="minorHAnsi" w:eastAsia="Arial" w:hAnsiTheme="minorHAnsi" w:cstheme="minorHAnsi"/>
          <w:color w:val="222222"/>
          <w:sz w:val="24"/>
          <w:szCs w:val="24"/>
        </w:rPr>
        <w:t xml:space="preserve"> of </w:t>
      </w:r>
      <w:proofErr w:type="spellStart"/>
      <w:r w:rsidRPr="006C62CA">
        <w:rPr>
          <w:rFonts w:asciiTheme="minorHAnsi" w:eastAsia="Arial" w:hAnsiTheme="minorHAnsi" w:cstheme="minorHAnsi"/>
          <w:color w:val="222222"/>
          <w:sz w:val="24"/>
          <w:szCs w:val="24"/>
        </w:rPr>
        <w:t>Tiree</w:t>
      </w:r>
      <w:proofErr w:type="spellEnd"/>
    </w:p>
    <w:p w:rsidR="006C62CA" w:rsidRPr="006C62CA" w:rsidRDefault="006C62CA" w:rsidP="006C62CA">
      <w:pPr>
        <w:numPr>
          <w:ilvl w:val="0"/>
          <w:numId w:val="4"/>
        </w:numPr>
        <w:pBdr>
          <w:top w:val="nil"/>
          <w:left w:val="nil"/>
          <w:bottom w:val="nil"/>
          <w:right w:val="nil"/>
          <w:between w:val="nil"/>
        </w:pBdr>
        <w:jc w:val="both"/>
        <w:rPr>
          <w:rFonts w:asciiTheme="minorHAnsi" w:eastAsia="Arial" w:hAnsiTheme="minorHAnsi" w:cstheme="minorHAnsi"/>
          <w:color w:val="222222"/>
          <w:sz w:val="24"/>
          <w:szCs w:val="24"/>
        </w:rPr>
      </w:pPr>
      <w:r w:rsidRPr="006C62CA">
        <w:rPr>
          <w:rFonts w:asciiTheme="minorHAnsi" w:eastAsia="Arial" w:hAnsiTheme="minorHAnsi" w:cstheme="minorHAnsi"/>
          <w:color w:val="000000"/>
          <w:sz w:val="24"/>
          <w:szCs w:val="24"/>
        </w:rPr>
        <w:t>It impacts on a Listed Building as designated by Historic Environment Scotland</w:t>
      </w:r>
      <w:r w:rsidRPr="006C62CA">
        <w:rPr>
          <w:rFonts w:asciiTheme="minorHAnsi" w:eastAsia="Arial" w:hAnsiTheme="minorHAnsi" w:cstheme="minorHAnsi"/>
          <w:sz w:val="24"/>
          <w:szCs w:val="24"/>
        </w:rPr>
        <w:t>,</w:t>
      </w:r>
    </w:p>
    <w:p w:rsidR="006C62CA" w:rsidRDefault="006C62CA" w:rsidP="006C62CA">
      <w:pPr>
        <w:jc w:val="both"/>
        <w:rPr>
          <w:rFonts w:asciiTheme="minorHAnsi" w:eastAsia="Arial" w:hAnsiTheme="minorHAnsi" w:cstheme="minorHAnsi"/>
          <w:color w:val="000000"/>
          <w:sz w:val="24"/>
          <w:szCs w:val="24"/>
        </w:rPr>
      </w:pPr>
      <w:r w:rsidRPr="006C62CA">
        <w:rPr>
          <w:rFonts w:asciiTheme="minorHAnsi" w:eastAsia="Arial" w:hAnsiTheme="minorHAnsi" w:cstheme="minorHAnsi"/>
          <w:sz w:val="24"/>
          <w:szCs w:val="24"/>
        </w:rPr>
        <w:t xml:space="preserve">then </w:t>
      </w:r>
      <w:r w:rsidRPr="006C62CA">
        <w:rPr>
          <w:rFonts w:asciiTheme="minorHAnsi" w:eastAsia="Arial" w:hAnsiTheme="minorHAnsi" w:cstheme="minorHAnsi"/>
          <w:color w:val="000000"/>
          <w:sz w:val="24"/>
          <w:szCs w:val="24"/>
        </w:rPr>
        <w:t>TCC will follow the Planning Procedure as set out below. Our response may be supportive or critical, or may reflect a more nuanced view if there is a spread of opinion in the community.</w:t>
      </w:r>
    </w:p>
    <w:p w:rsidR="006C62CA" w:rsidRPr="006C62CA" w:rsidRDefault="006C62CA" w:rsidP="006C62CA">
      <w:pPr>
        <w:jc w:val="both"/>
        <w:rPr>
          <w:rFonts w:asciiTheme="minorHAnsi" w:eastAsia="Arial" w:hAnsiTheme="minorHAnsi" w:cstheme="minorHAnsi"/>
          <w:color w:val="000000"/>
          <w:sz w:val="24"/>
          <w:szCs w:val="24"/>
        </w:rPr>
      </w:pPr>
    </w:p>
    <w:p w:rsidR="006C62CA" w:rsidRDefault="006C62CA" w:rsidP="006C62CA">
      <w:pPr>
        <w:pStyle w:val="ListParagraph"/>
        <w:numPr>
          <w:ilvl w:val="0"/>
          <w:numId w:val="6"/>
        </w:numPr>
        <w:jc w:val="both"/>
        <w:rPr>
          <w:rFonts w:asciiTheme="minorHAnsi" w:eastAsia="Arial" w:hAnsiTheme="minorHAnsi" w:cstheme="minorHAnsi"/>
          <w:b/>
          <w:color w:val="000000" w:themeColor="text1"/>
          <w:sz w:val="24"/>
          <w:szCs w:val="24"/>
        </w:rPr>
      </w:pPr>
      <w:r w:rsidRPr="006C62CA">
        <w:rPr>
          <w:rFonts w:asciiTheme="minorHAnsi" w:eastAsia="Arial" w:hAnsiTheme="minorHAnsi" w:cstheme="minorHAnsi"/>
          <w:b/>
          <w:color w:val="000000"/>
          <w:sz w:val="24"/>
          <w:szCs w:val="24"/>
        </w:rPr>
        <w:t xml:space="preserve">TCC </w:t>
      </w:r>
      <w:r w:rsidRPr="006C62CA">
        <w:rPr>
          <w:rFonts w:asciiTheme="minorHAnsi" w:eastAsia="Arial" w:hAnsiTheme="minorHAnsi" w:cstheme="minorHAnsi"/>
          <w:b/>
          <w:color w:val="000000" w:themeColor="text1"/>
          <w:sz w:val="24"/>
          <w:szCs w:val="24"/>
        </w:rPr>
        <w:t xml:space="preserve">Planning Procedure </w:t>
      </w:r>
    </w:p>
    <w:p w:rsidR="006C62CA" w:rsidRPr="006C62CA" w:rsidRDefault="006C62CA" w:rsidP="006C62CA">
      <w:pPr>
        <w:pStyle w:val="ListParagraph"/>
        <w:jc w:val="both"/>
        <w:rPr>
          <w:rFonts w:asciiTheme="minorHAnsi" w:eastAsia="Arial" w:hAnsiTheme="minorHAnsi" w:cstheme="minorHAnsi"/>
          <w:b/>
          <w:color w:val="000000" w:themeColor="text1"/>
          <w:sz w:val="24"/>
          <w:szCs w:val="24"/>
        </w:rPr>
      </w:pP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Argyll and Bute Council’s Weekly List of Valid Planning Applications is sent to TCC as a statutory consultee. The Secretary or other agreed member(s) of TCC will be responsible for monitoring this List, as well as correspondence to TCC, for applications that fall within the Scope of TCC Planning Policy.</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They (or any other member of TCC) will then draw the matter to the attention of the next TCC agenda meeting, which will then decide if an application should be put on the agenda of the subsequent public meeting. Since TCC usually has to respond within 21 days of the publication of the Weekly List of Valid Planning Applications, a holding note asking for a deferment may be sent to the Planning Department.</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The application will then be debated at the subsequent public meeting having been advertised on the agenda. If necessary, due to TCC being in recess, a public meeting may be called to discuss the application in time to meet any Planning Department deadlines.</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lastRenderedPageBreak/>
        <w:t xml:space="preserve">The response of TCC may be to take no action, or to write a letter of support or objection to the Argyll and Bute online planning system. </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If time permits, the matter is considered important enough and if there are strong and diverse views across the community, TCC may decide to engage in an appropriate public consultation. Any consultation results and the way these have been gathered will be given to the Planning Authority in full.</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eastAsia="Arial" w:hAnsiTheme="minorHAnsi" w:cstheme="minorHAnsi"/>
          <w:color w:val="000000" w:themeColor="text1"/>
          <w:sz w:val="24"/>
          <w:szCs w:val="24"/>
        </w:rPr>
        <w:t>At any stage in this Procedure, members of TCC should express a Declaration of Interest if they have a financial or strong social interest in an application as per section 5.2 in Argyll and Bute Council’s ‘Community Councils: A Code of Practice’. The Convenor, or other councillor acting in that role, will then decide whether that councillor has to recuse herself or himself from the discussion and/or vote on an application at any stage.</w:t>
      </w:r>
    </w:p>
    <w:p w:rsidR="006C62CA" w:rsidRP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 xml:space="preserve">TCC’s Collective Responsibility Policy allows individual community council members to responsibly express views which may be contrary to those agreed by a majority vote of TCC. </w:t>
      </w:r>
    </w:p>
    <w:p w:rsidR="006C62CA" w:rsidRDefault="006C62CA" w:rsidP="006C62CA">
      <w:pPr>
        <w:pStyle w:val="ListParagraph"/>
        <w:numPr>
          <w:ilvl w:val="0"/>
          <w:numId w:val="5"/>
        </w:numPr>
        <w:jc w:val="both"/>
        <w:rPr>
          <w:rFonts w:asciiTheme="minorHAnsi" w:hAnsiTheme="minorHAnsi" w:cstheme="minorHAnsi"/>
          <w:sz w:val="24"/>
          <w:szCs w:val="24"/>
        </w:rPr>
      </w:pPr>
      <w:r w:rsidRPr="006C62CA">
        <w:rPr>
          <w:rFonts w:asciiTheme="minorHAnsi" w:hAnsiTheme="minorHAnsi" w:cstheme="minorHAnsi"/>
          <w:sz w:val="24"/>
          <w:szCs w:val="24"/>
        </w:rPr>
        <w:t>The TCC Planning Policy will be reviewed annually at the TCC AGM.</w:t>
      </w:r>
    </w:p>
    <w:p w:rsidR="006C62CA" w:rsidRDefault="006C62CA" w:rsidP="006C62CA">
      <w:pPr>
        <w:jc w:val="both"/>
        <w:rPr>
          <w:rFonts w:asciiTheme="minorHAnsi" w:hAnsiTheme="minorHAnsi" w:cstheme="minorHAnsi"/>
          <w:sz w:val="24"/>
          <w:szCs w:val="24"/>
        </w:rPr>
      </w:pPr>
      <w:r>
        <w:rPr>
          <w:rFonts w:asciiTheme="minorHAnsi" w:hAnsiTheme="minorHAnsi" w:cstheme="minorHAnsi"/>
          <w:sz w:val="24"/>
          <w:szCs w:val="24"/>
        </w:rPr>
        <w:t>Agreed August 2021.</w:t>
      </w:r>
    </w:p>
    <w:p w:rsidR="006C62CA" w:rsidRDefault="006C62CA" w:rsidP="006C62CA">
      <w:pPr>
        <w:jc w:val="both"/>
        <w:rPr>
          <w:rFonts w:asciiTheme="minorHAnsi" w:hAnsiTheme="minorHAnsi" w:cstheme="minorHAnsi"/>
          <w:sz w:val="24"/>
          <w:szCs w:val="24"/>
        </w:rPr>
      </w:pPr>
      <w:r>
        <w:rPr>
          <w:rFonts w:asciiTheme="minorHAnsi" w:hAnsiTheme="minorHAnsi" w:cstheme="minorHAnsi"/>
          <w:sz w:val="24"/>
          <w:szCs w:val="24"/>
        </w:rPr>
        <w:t>The Scope, bullet point 1 was amended in January 2023.</w:t>
      </w:r>
    </w:p>
    <w:p w:rsidR="006C62CA" w:rsidRPr="006C62CA" w:rsidRDefault="006C62CA" w:rsidP="006C62CA">
      <w:pPr>
        <w:jc w:val="both"/>
        <w:rPr>
          <w:rFonts w:asciiTheme="minorHAnsi" w:hAnsiTheme="minorHAnsi" w:cstheme="minorHAnsi"/>
          <w:sz w:val="24"/>
          <w:szCs w:val="24"/>
        </w:rPr>
      </w:pPr>
      <w:r>
        <w:rPr>
          <w:rFonts w:asciiTheme="minorHAnsi" w:hAnsiTheme="minorHAnsi" w:cstheme="minorHAnsi"/>
          <w:sz w:val="24"/>
          <w:szCs w:val="24"/>
        </w:rPr>
        <w:t>Dr John Holliday, Secretary</w:t>
      </w:r>
    </w:p>
    <w:p w:rsidR="006C62CA" w:rsidRPr="006C62CA" w:rsidRDefault="006C62CA" w:rsidP="006C62CA">
      <w:pPr>
        <w:spacing w:after="0" w:line="240" w:lineRule="auto"/>
        <w:rPr>
          <w:rFonts w:asciiTheme="minorHAnsi" w:eastAsia="Arial" w:hAnsiTheme="minorHAnsi" w:cstheme="minorHAnsi"/>
          <w:b/>
          <w:sz w:val="24"/>
          <w:szCs w:val="24"/>
        </w:rPr>
      </w:pPr>
    </w:p>
    <w:p w:rsidR="006C62CA" w:rsidRPr="006C62CA" w:rsidRDefault="006C62CA" w:rsidP="006C62CA">
      <w:pPr>
        <w:spacing w:after="0" w:line="240" w:lineRule="auto"/>
        <w:rPr>
          <w:rFonts w:asciiTheme="minorHAnsi" w:eastAsia="Arial" w:hAnsiTheme="minorHAnsi" w:cstheme="minorHAnsi"/>
          <w:sz w:val="24"/>
          <w:szCs w:val="24"/>
        </w:rPr>
      </w:pPr>
      <w:r w:rsidRPr="006C62CA">
        <w:rPr>
          <w:rFonts w:asciiTheme="minorHAnsi" w:hAnsiTheme="minorHAnsi" w:cstheme="minorHAnsi"/>
          <w:sz w:val="24"/>
          <w:szCs w:val="24"/>
        </w:rPr>
        <w:br w:type="page"/>
      </w:r>
    </w:p>
    <w:p w:rsidR="006C62CA" w:rsidRPr="006C62CA" w:rsidRDefault="006C62CA" w:rsidP="006C62CA">
      <w:pPr>
        <w:spacing w:after="0" w:line="240" w:lineRule="auto"/>
        <w:rPr>
          <w:rFonts w:asciiTheme="minorHAnsi" w:eastAsia="Arial" w:hAnsiTheme="minorHAnsi" w:cstheme="minorHAnsi"/>
          <w:b/>
          <w:sz w:val="24"/>
          <w:szCs w:val="24"/>
        </w:rPr>
      </w:pPr>
      <w:r w:rsidRPr="006C62CA">
        <w:rPr>
          <w:rFonts w:asciiTheme="minorHAnsi" w:eastAsia="Arial" w:hAnsiTheme="minorHAnsi" w:cstheme="minorHAnsi"/>
          <w:b/>
          <w:sz w:val="24"/>
          <w:szCs w:val="24"/>
        </w:rPr>
        <w:lastRenderedPageBreak/>
        <w:t>Current adopted local development plan map</w:t>
      </w:r>
    </w:p>
    <w:p w:rsidR="006C62CA" w:rsidRDefault="006C62CA" w:rsidP="006C62CA">
      <w:pPr>
        <w:spacing w:after="0" w:line="240" w:lineRule="auto"/>
        <w:rPr>
          <w:rFonts w:ascii="Arial" w:eastAsia="Arial" w:hAnsi="Arial" w:cs="Arial"/>
          <w:b/>
          <w:sz w:val="28"/>
          <w:szCs w:val="28"/>
        </w:rPr>
      </w:pPr>
    </w:p>
    <w:p w:rsidR="006C62CA" w:rsidRDefault="00C55148" w:rsidP="006C62CA">
      <w:pPr>
        <w:rPr>
          <w:rFonts w:ascii="Arial" w:eastAsia="Arial" w:hAnsi="Arial" w:cs="Arial"/>
          <w:b/>
          <w:sz w:val="28"/>
          <w:szCs w:val="28"/>
        </w:rPr>
      </w:pPr>
      <w:r>
        <w:rPr>
          <w:rFonts w:ascii="Arial" w:eastAsia="Arial" w:hAnsi="Arial" w:cs="Arial"/>
          <w:b/>
          <w:noProof/>
          <w:sz w:val="28"/>
          <w:szCs w:val="28"/>
        </w:rPr>
        <w:object w:dxaOrig="10019" w:dyaOrig="7079" w14:anchorId="0639E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0.65pt;height:354pt;mso-width-percent:0;mso-height-percent:0;mso-width-percent:0;mso-height-percent:0" o:ole="">
            <v:imagedata r:id="rId7" o:title=""/>
          </v:shape>
          <o:OLEObject Type="Embed" ProgID="AcroExch.Document.DC" ShapeID="_x0000_i1025" DrawAspect="Content" ObjectID="_1737295713" r:id="rId8"/>
        </w:object>
      </w:r>
    </w:p>
    <w:p w:rsidR="006C62CA" w:rsidRDefault="006C62CA" w:rsidP="006C62CA">
      <w:pPr>
        <w:rPr>
          <w:rFonts w:ascii="Arial" w:eastAsia="Arial" w:hAnsi="Arial" w:cs="Arial"/>
          <w:b/>
          <w:sz w:val="16"/>
          <w:szCs w:val="16"/>
        </w:rPr>
      </w:pPr>
      <w:r>
        <w:t xml:space="preserve">Source: </w:t>
      </w:r>
      <w:hyperlink r:id="rId9">
        <w:r>
          <w:rPr>
            <w:rFonts w:ascii="Arial" w:eastAsia="Arial" w:hAnsi="Arial" w:cs="Arial"/>
            <w:b/>
            <w:color w:val="0000FF"/>
            <w:sz w:val="16"/>
            <w:szCs w:val="16"/>
            <w:u w:val="single"/>
          </w:rPr>
          <w:t>https://www.argyll-bute.gov.uk/sites/default/files/ldp/adopted/Proposals%20Maps/Area%20Maps/Adopted%20Coll%20and%20Tiree%20Map.pdf</w:t>
        </w:r>
      </w:hyperlink>
    </w:p>
    <w:p w:rsidR="006C62CA" w:rsidRDefault="006C62CA" w:rsidP="006C62CA">
      <w:r>
        <w:rPr>
          <w:rFonts w:ascii="Calibri" w:eastAsia="Calibri" w:hAnsi="Calibri" w:cs="Calibri"/>
          <w:sz w:val="24"/>
          <w:szCs w:val="24"/>
        </w:rPr>
        <w:t xml:space="preserve">Link to the 2015 Local Development Plan: </w:t>
      </w:r>
      <w:hyperlink r:id="rId10">
        <w:r>
          <w:rPr>
            <w:rFonts w:ascii="Calibri" w:eastAsia="Calibri" w:hAnsi="Calibri" w:cs="Calibri"/>
            <w:color w:val="0000FF"/>
            <w:sz w:val="24"/>
            <w:szCs w:val="24"/>
            <w:u w:val="single"/>
          </w:rPr>
          <w:t>https://www.argyll-bute.gov.uk/planning-and-environment/local-development-plan</w:t>
        </w:r>
      </w:hyperlink>
    </w:p>
    <w:sectPr w:rsidR="006C62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5148" w:rsidRDefault="00C55148" w:rsidP="006C62CA">
      <w:pPr>
        <w:spacing w:after="0" w:line="240" w:lineRule="auto"/>
      </w:pPr>
      <w:r>
        <w:separator/>
      </w:r>
    </w:p>
  </w:endnote>
  <w:endnote w:type="continuationSeparator" w:id="0">
    <w:p w:rsidR="00C55148" w:rsidRDefault="00C55148" w:rsidP="006C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5148" w:rsidRDefault="00C55148" w:rsidP="006C62CA">
      <w:pPr>
        <w:spacing w:after="0" w:line="240" w:lineRule="auto"/>
      </w:pPr>
      <w:r>
        <w:separator/>
      </w:r>
    </w:p>
  </w:footnote>
  <w:footnote w:type="continuationSeparator" w:id="0">
    <w:p w:rsidR="00C55148" w:rsidRDefault="00C55148" w:rsidP="006C6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39B"/>
    <w:multiLevelType w:val="multilevel"/>
    <w:tmpl w:val="FCE47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446C9"/>
    <w:multiLevelType w:val="multilevel"/>
    <w:tmpl w:val="B2E44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AD28DF"/>
    <w:multiLevelType w:val="multilevel"/>
    <w:tmpl w:val="6E6E064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844" w:hanging="480"/>
      </w:pPr>
      <w:rPr>
        <w:rFonts w:ascii="Arial" w:eastAsia="Arial" w:hAnsi="Arial" w:cs="Arial"/>
        <w:color w:val="000000"/>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3DBA4B99"/>
    <w:multiLevelType w:val="hybridMultilevel"/>
    <w:tmpl w:val="C00AF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116A34"/>
    <w:multiLevelType w:val="multilevel"/>
    <w:tmpl w:val="2FB48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464DA4"/>
    <w:multiLevelType w:val="hybridMultilevel"/>
    <w:tmpl w:val="6F6AD7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6731494">
    <w:abstractNumId w:val="4"/>
  </w:num>
  <w:num w:numId="2" w16cid:durableId="1904019140">
    <w:abstractNumId w:val="2"/>
  </w:num>
  <w:num w:numId="3" w16cid:durableId="1666208338">
    <w:abstractNumId w:val="0"/>
  </w:num>
  <w:num w:numId="4" w16cid:durableId="1493452422">
    <w:abstractNumId w:val="1"/>
  </w:num>
  <w:num w:numId="5" w16cid:durableId="1171918163">
    <w:abstractNumId w:val="3"/>
  </w:num>
  <w:num w:numId="6" w16cid:durableId="1717390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CA"/>
    <w:rsid w:val="006C62CA"/>
    <w:rsid w:val="00C55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9A94"/>
  <w15:chartTrackingRefBased/>
  <w15:docId w15:val="{8CB89285-1AFC-3148-B514-DAC4248B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2CA"/>
    <w:pPr>
      <w:spacing w:after="200" w:line="276" w:lineRule="auto"/>
    </w:pPr>
    <w:rPr>
      <w:rFonts w:ascii="Cambria" w:hAnsi="Cambria" w:cs="Cambria"/>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argyll-bute.gov.uk/planning-and-environment/local-development-plan" TargetMode="External"/><Relationship Id="rId4" Type="http://schemas.openxmlformats.org/officeDocument/2006/relationships/webSettings" Target="webSettings.xml"/><Relationship Id="rId9" Type="http://schemas.openxmlformats.org/officeDocument/2006/relationships/hyperlink" Target="https://www.argyll-bute.gov.uk/sites/default/files/ldp/adopted/Proposals%20Maps/Area%20Maps/Adopted%20Coll%20and%20Tiree%20M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1076</Words>
  <Characters>5429</Characters>
  <Application>Microsoft Office Word</Application>
  <DocSecurity>0</DocSecurity>
  <Lines>106</Lines>
  <Paragraphs>23</Paragraphs>
  <ScaleCrop>false</ScaleCrop>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Holliday</dc:creator>
  <cp:keywords/>
  <dc:description/>
  <cp:lastModifiedBy>John Holliday</cp:lastModifiedBy>
  <cp:revision>1</cp:revision>
  <dcterms:created xsi:type="dcterms:W3CDTF">2023-02-07T17:13:00Z</dcterms:created>
  <dcterms:modified xsi:type="dcterms:W3CDTF">2023-02-07T17:22:00Z</dcterms:modified>
</cp:coreProperties>
</file>