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1CD3F" w14:textId="731C271C" w:rsidR="00C91E62" w:rsidRPr="007E0E87" w:rsidRDefault="00C91E62" w:rsidP="007E0E87">
      <w:pPr>
        <w:jc w:val="center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  <w:r w:rsidRPr="007E0E87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 xml:space="preserve">Result of </w:t>
      </w:r>
      <w:r w:rsidR="00BE2D05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 xml:space="preserve">Urgent </w:t>
      </w:r>
      <w:r w:rsidRPr="007E0E87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>Public Consultation on the Isle of Tiree</w:t>
      </w:r>
    </w:p>
    <w:p w14:paraId="518F8CCF" w14:textId="58910F3B" w:rsidR="00C91E62" w:rsidRPr="007E0E87" w:rsidRDefault="00C91E62" w:rsidP="00363FA2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7E0E87">
        <w:rPr>
          <w:rFonts w:ascii="Microsoft Sans Serif" w:hAnsi="Microsoft Sans Serif" w:cs="Microsoft Sans Serif"/>
          <w:sz w:val="24"/>
          <w:szCs w:val="24"/>
        </w:rPr>
        <w:t xml:space="preserve">Tiree Community Council carried out </w:t>
      </w:r>
      <w:r w:rsidR="00576163">
        <w:rPr>
          <w:rFonts w:ascii="Microsoft Sans Serif" w:hAnsi="Microsoft Sans Serif" w:cs="Microsoft Sans Serif"/>
          <w:sz w:val="24"/>
          <w:szCs w:val="24"/>
        </w:rPr>
        <w:t xml:space="preserve">urgent </w:t>
      </w:r>
      <w:r w:rsidRPr="007E0E87">
        <w:rPr>
          <w:rFonts w:ascii="Microsoft Sans Serif" w:hAnsi="Microsoft Sans Serif" w:cs="Microsoft Sans Serif"/>
          <w:sz w:val="24"/>
          <w:szCs w:val="24"/>
        </w:rPr>
        <w:t>public consultation</w:t>
      </w:r>
      <w:r w:rsidR="00BE2D05">
        <w:rPr>
          <w:rFonts w:ascii="Microsoft Sans Serif" w:hAnsi="Microsoft Sans Serif" w:cs="Microsoft Sans Serif"/>
          <w:sz w:val="24"/>
          <w:szCs w:val="24"/>
        </w:rPr>
        <w:t xml:space="preserve"> on the easing of Covid-19 restrictions</w:t>
      </w:r>
      <w:r w:rsidR="00576163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7E0E87">
        <w:rPr>
          <w:rFonts w:ascii="Microsoft Sans Serif" w:hAnsi="Microsoft Sans Serif" w:cs="Microsoft Sans Serif"/>
          <w:sz w:val="24"/>
          <w:szCs w:val="24"/>
        </w:rPr>
        <w:t>via SurveyMonkey. Members of the community were asked whether they would prefer to return to December’s</w:t>
      </w:r>
      <w:r w:rsidR="00363FA2" w:rsidRPr="007E0E87">
        <w:rPr>
          <w:rFonts w:ascii="Microsoft Sans Serif" w:hAnsi="Microsoft Sans Serif" w:cs="Microsoft Sans Serif"/>
          <w:sz w:val="24"/>
          <w:szCs w:val="24"/>
        </w:rPr>
        <w:t xml:space="preserve"> modified</w:t>
      </w:r>
      <w:r w:rsidRPr="007E0E87">
        <w:rPr>
          <w:rFonts w:ascii="Microsoft Sans Serif" w:hAnsi="Microsoft Sans Serif" w:cs="Microsoft Sans Serif"/>
          <w:sz w:val="24"/>
          <w:szCs w:val="24"/>
        </w:rPr>
        <w:t xml:space="preserve"> Tier 2 arrangement, which would allow for indoor </w:t>
      </w:r>
      <w:r w:rsidR="00363FA2" w:rsidRPr="007E0E87">
        <w:rPr>
          <w:rFonts w:ascii="Microsoft Sans Serif" w:hAnsi="Microsoft Sans Serif" w:cs="Microsoft Sans Serif"/>
          <w:sz w:val="24"/>
          <w:szCs w:val="24"/>
        </w:rPr>
        <w:t>socialising</w:t>
      </w:r>
      <w:r w:rsidRPr="007E0E87">
        <w:rPr>
          <w:rFonts w:ascii="Microsoft Sans Serif" w:hAnsi="Microsoft Sans Serif" w:cs="Microsoft Sans Serif"/>
          <w:sz w:val="24"/>
          <w:szCs w:val="24"/>
        </w:rPr>
        <w:t xml:space="preserve"> amongst those already on the island and permit only essential travel</w:t>
      </w:r>
      <w:r w:rsidR="00462701" w:rsidRPr="007E0E87">
        <w:rPr>
          <w:rFonts w:ascii="Microsoft Sans Serif" w:hAnsi="Microsoft Sans Serif" w:cs="Microsoft Sans Serif"/>
          <w:sz w:val="24"/>
          <w:szCs w:val="24"/>
        </w:rPr>
        <w:t xml:space="preserve"> (</w:t>
      </w:r>
      <w:r w:rsidR="00462701" w:rsidRPr="007E0E87">
        <w:rPr>
          <w:rFonts w:ascii="Microsoft Sans Serif" w:hAnsi="Microsoft Sans Serif" w:cs="Microsoft Sans Serif"/>
          <w:b/>
          <w:bCs/>
          <w:sz w:val="24"/>
          <w:szCs w:val="24"/>
        </w:rPr>
        <w:t>Option B</w:t>
      </w:r>
      <w:r w:rsidR="00462701" w:rsidRPr="007E0E87">
        <w:rPr>
          <w:rFonts w:ascii="Microsoft Sans Serif" w:hAnsi="Microsoft Sans Serif" w:cs="Microsoft Sans Serif"/>
          <w:sz w:val="24"/>
          <w:szCs w:val="24"/>
        </w:rPr>
        <w:t>)</w:t>
      </w:r>
      <w:r w:rsidRPr="007E0E87">
        <w:rPr>
          <w:rFonts w:ascii="Microsoft Sans Serif" w:hAnsi="Microsoft Sans Serif" w:cs="Microsoft Sans Serif"/>
          <w:sz w:val="24"/>
          <w:szCs w:val="24"/>
        </w:rPr>
        <w:t xml:space="preserve">, or to follow the Scottish mainland into Tier 3 </w:t>
      </w:r>
      <w:r w:rsidR="00363FA2" w:rsidRPr="007E0E87">
        <w:rPr>
          <w:rFonts w:ascii="Microsoft Sans Serif" w:hAnsi="Microsoft Sans Serif" w:cs="Microsoft Sans Serif"/>
          <w:sz w:val="24"/>
          <w:szCs w:val="24"/>
        </w:rPr>
        <w:t>with fewer travel restrictions but a ban on indoor socialising</w:t>
      </w:r>
      <w:r w:rsidR="00462701" w:rsidRPr="007E0E87">
        <w:rPr>
          <w:rFonts w:ascii="Microsoft Sans Serif" w:hAnsi="Microsoft Sans Serif" w:cs="Microsoft Sans Serif"/>
          <w:sz w:val="24"/>
          <w:szCs w:val="24"/>
        </w:rPr>
        <w:t xml:space="preserve"> (</w:t>
      </w:r>
      <w:r w:rsidR="00462701" w:rsidRPr="007E0E87">
        <w:rPr>
          <w:rFonts w:ascii="Microsoft Sans Serif" w:hAnsi="Microsoft Sans Serif" w:cs="Microsoft Sans Serif"/>
          <w:b/>
          <w:bCs/>
          <w:sz w:val="24"/>
          <w:szCs w:val="24"/>
        </w:rPr>
        <w:t>Option A</w:t>
      </w:r>
      <w:r w:rsidR="00462701" w:rsidRPr="007E0E87">
        <w:rPr>
          <w:rFonts w:ascii="Microsoft Sans Serif" w:hAnsi="Microsoft Sans Serif" w:cs="Microsoft Sans Serif"/>
          <w:sz w:val="24"/>
          <w:szCs w:val="24"/>
        </w:rPr>
        <w:t>)</w:t>
      </w:r>
      <w:r w:rsidR="00363FA2" w:rsidRPr="007E0E87">
        <w:rPr>
          <w:rFonts w:ascii="Microsoft Sans Serif" w:hAnsi="Microsoft Sans Serif" w:cs="Microsoft Sans Serif"/>
          <w:sz w:val="24"/>
          <w:szCs w:val="24"/>
        </w:rPr>
        <w:t xml:space="preserve">. It was stated in the </w:t>
      </w:r>
      <w:r w:rsidR="005E0098">
        <w:rPr>
          <w:rFonts w:ascii="Microsoft Sans Serif" w:hAnsi="Microsoft Sans Serif" w:cs="Microsoft Sans Serif"/>
          <w:sz w:val="24"/>
          <w:szCs w:val="24"/>
        </w:rPr>
        <w:t>accompanying text that the</w:t>
      </w:r>
      <w:r w:rsidR="0011639A">
        <w:rPr>
          <w:rFonts w:ascii="Microsoft Sans Serif" w:hAnsi="Microsoft Sans Serif" w:cs="Microsoft Sans Serif"/>
          <w:sz w:val="24"/>
          <w:szCs w:val="24"/>
        </w:rPr>
        <w:t xml:space="preserve"> defined</w:t>
      </w:r>
      <w:r w:rsidR="005E0098">
        <w:rPr>
          <w:rFonts w:ascii="Microsoft Sans Serif" w:hAnsi="Microsoft Sans Serif" w:cs="Microsoft Sans Serif"/>
          <w:sz w:val="24"/>
          <w:szCs w:val="24"/>
        </w:rPr>
        <w:t xml:space="preserve"> options were </w:t>
      </w:r>
      <w:r w:rsidR="00E8508F">
        <w:rPr>
          <w:rFonts w:ascii="Microsoft Sans Serif" w:hAnsi="Microsoft Sans Serif" w:cs="Microsoft Sans Serif"/>
          <w:sz w:val="24"/>
          <w:szCs w:val="24"/>
        </w:rPr>
        <w:t>simplifications for reference</w:t>
      </w:r>
      <w:r w:rsidR="007526A8">
        <w:rPr>
          <w:rFonts w:ascii="Microsoft Sans Serif" w:hAnsi="Microsoft Sans Serif" w:cs="Microsoft Sans Serif"/>
          <w:sz w:val="24"/>
          <w:szCs w:val="24"/>
        </w:rPr>
        <w:t xml:space="preserve"> and to broadly gauge preferences, </w:t>
      </w:r>
      <w:r w:rsidR="00E8508F">
        <w:rPr>
          <w:rFonts w:ascii="Microsoft Sans Serif" w:hAnsi="Microsoft Sans Serif" w:cs="Microsoft Sans Serif"/>
          <w:sz w:val="24"/>
          <w:szCs w:val="24"/>
        </w:rPr>
        <w:t>not a</w:t>
      </w:r>
      <w:r w:rsidR="0099248C">
        <w:rPr>
          <w:rFonts w:ascii="Microsoft Sans Serif" w:hAnsi="Microsoft Sans Serif" w:cs="Microsoft Sans Serif"/>
          <w:sz w:val="24"/>
          <w:szCs w:val="24"/>
        </w:rPr>
        <w:t xml:space="preserve">n indication of the </w:t>
      </w:r>
      <w:r w:rsidR="00046AC4">
        <w:rPr>
          <w:rFonts w:ascii="Microsoft Sans Serif" w:hAnsi="Microsoft Sans Serif" w:cs="Microsoft Sans Serif"/>
          <w:sz w:val="24"/>
          <w:szCs w:val="24"/>
        </w:rPr>
        <w:t>current timetabled plans.</w:t>
      </w:r>
    </w:p>
    <w:p w14:paraId="52DF79C3" w14:textId="60C62DCA" w:rsidR="00462701" w:rsidRPr="007E0E87" w:rsidRDefault="00C91E62" w:rsidP="00462701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7E0E87">
        <w:rPr>
          <w:rFonts w:ascii="Microsoft Sans Serif" w:hAnsi="Microsoft Sans Serif" w:cs="Microsoft Sans Serif"/>
          <w:sz w:val="24"/>
          <w:szCs w:val="24"/>
        </w:rPr>
        <w:t>Members of the community were asked to identify themselves based on the following criteria</w:t>
      </w:r>
      <w:r w:rsidR="00462701" w:rsidRPr="007E0E87">
        <w:rPr>
          <w:rFonts w:ascii="Microsoft Sans Serif" w:hAnsi="Microsoft Sans Serif" w:cs="Microsoft Sans Serif"/>
          <w:sz w:val="24"/>
          <w:szCs w:val="24"/>
        </w:rPr>
        <w:t>, to ensure that a broad sample of the community and their interests were represented</w:t>
      </w:r>
      <w:r w:rsidR="00BE2D05">
        <w:rPr>
          <w:rFonts w:ascii="Microsoft Sans Serif" w:hAnsi="Microsoft Sans Serif" w:cs="Microsoft Sans Serif"/>
          <w:sz w:val="24"/>
          <w:szCs w:val="24"/>
        </w:rPr>
        <w:t xml:space="preserve"> (see Appendix I for percentage breakdown of responses by group)</w:t>
      </w:r>
      <w:r w:rsidR="00462701" w:rsidRPr="007E0E87">
        <w:rPr>
          <w:rFonts w:ascii="Microsoft Sans Serif" w:hAnsi="Microsoft Sans Serif" w:cs="Microsoft Sans Serif"/>
          <w:sz w:val="24"/>
          <w:szCs w:val="24"/>
        </w:rPr>
        <w:t>;</w:t>
      </w:r>
    </w:p>
    <w:p w14:paraId="43BB8CDB" w14:textId="444CD8A3" w:rsidR="00C91E62" w:rsidRPr="007E0E87" w:rsidRDefault="00C91E62" w:rsidP="00C91E62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 w:rsidRPr="007E0E87">
        <w:rPr>
          <w:rFonts w:ascii="Microsoft Sans Serif" w:hAnsi="Microsoft Sans Serif" w:cs="Microsoft Sans Serif"/>
          <w:sz w:val="24"/>
          <w:szCs w:val="24"/>
        </w:rPr>
        <w:t xml:space="preserve">A resident of Tiree who does </w:t>
      </w:r>
      <w:r w:rsidRPr="007E0E87">
        <w:rPr>
          <w:rFonts w:ascii="Microsoft Sans Serif" w:hAnsi="Microsoft Sans Serif" w:cs="Microsoft Sans Serif"/>
          <w:b/>
          <w:bCs/>
          <w:sz w:val="24"/>
          <w:szCs w:val="24"/>
        </w:rPr>
        <w:t>not</w:t>
      </w:r>
      <w:r w:rsidRPr="007E0E87">
        <w:rPr>
          <w:rFonts w:ascii="Microsoft Sans Serif" w:hAnsi="Microsoft Sans Serif" w:cs="Microsoft Sans Serif"/>
          <w:sz w:val="24"/>
          <w:szCs w:val="24"/>
        </w:rPr>
        <w:t xml:space="preserve"> own a holiday let or tourism business </w:t>
      </w:r>
    </w:p>
    <w:p w14:paraId="3CCFBFDA" w14:textId="623794FF" w:rsidR="00C91E62" w:rsidRPr="007E0E87" w:rsidRDefault="00C91E62" w:rsidP="00C91E62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 w:rsidRPr="007E0E87">
        <w:rPr>
          <w:rFonts w:ascii="Microsoft Sans Serif" w:hAnsi="Microsoft Sans Serif" w:cs="Microsoft Sans Serif"/>
          <w:sz w:val="24"/>
          <w:szCs w:val="24"/>
        </w:rPr>
        <w:t xml:space="preserve">A </w:t>
      </w:r>
      <w:r w:rsidR="00BE2D05">
        <w:rPr>
          <w:rFonts w:ascii="Microsoft Sans Serif" w:hAnsi="Microsoft Sans Serif" w:cs="Microsoft Sans Serif"/>
          <w:sz w:val="24"/>
          <w:szCs w:val="24"/>
        </w:rPr>
        <w:t xml:space="preserve">tourism business owner who </w:t>
      </w:r>
      <w:r w:rsidR="00BE2D05">
        <w:rPr>
          <w:rFonts w:ascii="Microsoft Sans Serif" w:hAnsi="Microsoft Sans Serif" w:cs="Microsoft Sans Serif"/>
          <w:b/>
          <w:bCs/>
          <w:sz w:val="24"/>
          <w:szCs w:val="24"/>
        </w:rPr>
        <w:t xml:space="preserve">is </w:t>
      </w:r>
      <w:r w:rsidR="00BE2D05">
        <w:rPr>
          <w:rFonts w:ascii="Microsoft Sans Serif" w:hAnsi="Microsoft Sans Serif" w:cs="Microsoft Sans Serif"/>
          <w:sz w:val="24"/>
          <w:szCs w:val="24"/>
        </w:rPr>
        <w:t xml:space="preserve">resident on Tiree </w:t>
      </w:r>
      <w:r w:rsidRPr="007E0E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272206ED" w14:textId="4313EFF3" w:rsidR="00462701" w:rsidRPr="007E0E87" w:rsidRDefault="00C91E62" w:rsidP="00462701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 w:rsidRPr="007E0E87">
        <w:rPr>
          <w:rFonts w:ascii="Microsoft Sans Serif" w:hAnsi="Microsoft Sans Serif" w:cs="Microsoft Sans Serif"/>
          <w:sz w:val="24"/>
          <w:szCs w:val="24"/>
        </w:rPr>
        <w:t xml:space="preserve">An owner of a holiday let who </w:t>
      </w:r>
      <w:r w:rsidRPr="007E0E87">
        <w:rPr>
          <w:rFonts w:ascii="Microsoft Sans Serif" w:hAnsi="Microsoft Sans Serif" w:cs="Microsoft Sans Serif"/>
          <w:b/>
          <w:bCs/>
          <w:sz w:val="24"/>
          <w:szCs w:val="24"/>
        </w:rPr>
        <w:t>is not</w:t>
      </w:r>
      <w:r w:rsidRPr="007E0E87">
        <w:rPr>
          <w:rFonts w:ascii="Microsoft Sans Serif" w:hAnsi="Microsoft Sans Serif" w:cs="Microsoft Sans Serif"/>
          <w:sz w:val="24"/>
          <w:szCs w:val="24"/>
        </w:rPr>
        <w:t xml:space="preserve"> ordinarily resident on Tiree </w:t>
      </w:r>
    </w:p>
    <w:p w14:paraId="779305DB" w14:textId="26ACAB1B" w:rsidR="00462701" w:rsidRPr="007E0E87" w:rsidRDefault="00C91E62" w:rsidP="00462701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 w:rsidRPr="007E0E87">
        <w:rPr>
          <w:rFonts w:ascii="Microsoft Sans Serif" w:hAnsi="Microsoft Sans Serif" w:cs="Microsoft Sans Serif"/>
          <w:sz w:val="24"/>
          <w:szCs w:val="24"/>
        </w:rPr>
        <w:t xml:space="preserve">Friend or family of island resident/s, who </w:t>
      </w:r>
      <w:r w:rsidRPr="007E0E87">
        <w:rPr>
          <w:rFonts w:ascii="Microsoft Sans Serif" w:hAnsi="Microsoft Sans Serif" w:cs="Microsoft Sans Serif"/>
          <w:b/>
          <w:bCs/>
          <w:sz w:val="24"/>
          <w:szCs w:val="24"/>
        </w:rPr>
        <w:t>is not</w:t>
      </w:r>
      <w:r w:rsidRPr="007E0E87">
        <w:rPr>
          <w:rFonts w:ascii="Microsoft Sans Serif" w:hAnsi="Microsoft Sans Serif" w:cs="Microsoft Sans Serif"/>
          <w:sz w:val="24"/>
          <w:szCs w:val="24"/>
        </w:rPr>
        <w:t xml:space="preserve"> ordinarily resident on Tiree </w:t>
      </w:r>
    </w:p>
    <w:p w14:paraId="492CE5ED" w14:textId="04138B2E" w:rsidR="00462701" w:rsidRPr="007E0E87" w:rsidRDefault="00462701" w:rsidP="00C23784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7E0E87">
        <w:rPr>
          <w:rFonts w:ascii="Microsoft Sans Serif" w:hAnsi="Microsoft Sans Serif" w:cs="Microsoft Sans Serif"/>
          <w:sz w:val="24"/>
          <w:szCs w:val="24"/>
        </w:rPr>
        <w:t xml:space="preserve">Holiday let owners and friends and family were included to represent the full diversity of the island’s economy and ‘traffic’, thus discouraging falsified responses which would skew the data. </w:t>
      </w:r>
      <w:r w:rsidR="007E0E87" w:rsidRPr="007E0E87">
        <w:rPr>
          <w:rFonts w:ascii="Microsoft Sans Serif" w:hAnsi="Microsoft Sans Serif" w:cs="Microsoft Sans Serif"/>
          <w:sz w:val="24"/>
          <w:szCs w:val="24"/>
        </w:rPr>
        <w:t xml:space="preserve">The results of the survey </w:t>
      </w:r>
      <w:r w:rsidR="007E0E87">
        <w:rPr>
          <w:rFonts w:ascii="Microsoft Sans Serif" w:hAnsi="Microsoft Sans Serif" w:cs="Microsoft Sans Serif"/>
          <w:sz w:val="24"/>
          <w:szCs w:val="24"/>
        </w:rPr>
        <w:t>were</w:t>
      </w:r>
      <w:r w:rsidR="007E0E87" w:rsidRPr="007E0E87">
        <w:rPr>
          <w:rFonts w:ascii="Microsoft Sans Serif" w:hAnsi="Microsoft Sans Serif" w:cs="Microsoft Sans Serif"/>
          <w:sz w:val="24"/>
          <w:szCs w:val="24"/>
        </w:rPr>
        <w:t xml:space="preserve"> as follows; </w:t>
      </w:r>
    </w:p>
    <w:tbl>
      <w:tblPr>
        <w:tblStyle w:val="TableGrid"/>
        <w:tblW w:w="9171" w:type="dxa"/>
        <w:tblInd w:w="-257" w:type="dxa"/>
        <w:tblLook w:val="04A0" w:firstRow="1" w:lastRow="0" w:firstColumn="1" w:lastColumn="0" w:noHBand="0" w:noVBand="1"/>
      </w:tblPr>
      <w:tblGrid>
        <w:gridCol w:w="1839"/>
        <w:gridCol w:w="1763"/>
        <w:gridCol w:w="3257"/>
        <w:gridCol w:w="2312"/>
      </w:tblGrid>
      <w:tr w:rsidR="007E0E87" w:rsidRPr="007E0E87" w14:paraId="2F5D3CF1" w14:textId="77777777" w:rsidTr="00576163">
        <w:trPr>
          <w:trHeight w:val="561"/>
        </w:trPr>
        <w:tc>
          <w:tcPr>
            <w:tcW w:w="1839" w:type="dxa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auto"/>
            </w:tcBorders>
          </w:tcPr>
          <w:p w14:paraId="1ABAD444" w14:textId="77777777" w:rsidR="00576163" w:rsidRDefault="00576163" w:rsidP="00576163">
            <w:pPr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</w:p>
          <w:p w14:paraId="342C1C30" w14:textId="4152A619" w:rsidR="00C23784" w:rsidRPr="007E0E87" w:rsidRDefault="00C23784" w:rsidP="00576163">
            <w:pPr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 w:rsidRPr="007E0E87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763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B02DE" w14:textId="1333B27A" w:rsidR="00C23784" w:rsidRPr="007E0E87" w:rsidRDefault="00C23784" w:rsidP="00576163">
            <w:pPr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 w:rsidRPr="007E0E87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Net Responses</w:t>
            </w:r>
          </w:p>
        </w:tc>
        <w:tc>
          <w:tcPr>
            <w:tcW w:w="3257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71965" w14:textId="77777777" w:rsidR="00576163" w:rsidRDefault="00576163" w:rsidP="007E0E87">
            <w:pP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</w:p>
          <w:p w14:paraId="1B4223DF" w14:textId="0C6DFD9D" w:rsidR="00C23784" w:rsidRPr="007E0E87" w:rsidRDefault="00C23784" w:rsidP="00576163">
            <w:pPr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 w:rsidRPr="007E0E87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Preference for Option A</w:t>
            </w:r>
          </w:p>
        </w:tc>
        <w:tc>
          <w:tcPr>
            <w:tcW w:w="2312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7D6A2CC2" w14:textId="2CA647A3" w:rsidR="00C23784" w:rsidRPr="007E0E87" w:rsidRDefault="00C23784" w:rsidP="00576163">
            <w:pPr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 w:rsidRPr="007E0E87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Preference for Option B</w:t>
            </w:r>
          </w:p>
          <w:p w14:paraId="5366F1F6" w14:textId="1A95BC6C" w:rsidR="00C23784" w:rsidRPr="007E0E87" w:rsidRDefault="00C23784" w:rsidP="00C23784">
            <w:pPr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</w:p>
        </w:tc>
      </w:tr>
      <w:tr w:rsidR="00C23784" w:rsidRPr="007E0E87" w14:paraId="309300D0" w14:textId="77777777" w:rsidTr="00576163">
        <w:trPr>
          <w:trHeight w:val="193"/>
        </w:trPr>
        <w:tc>
          <w:tcPr>
            <w:tcW w:w="1839" w:type="dxa"/>
            <w:tcBorders>
              <w:top w:val="single" w:sz="12" w:space="0" w:color="auto"/>
              <w:left w:val="single" w:sz="12" w:space="0" w:color="FFFFFF"/>
              <w:right w:val="single" w:sz="12" w:space="0" w:color="auto"/>
            </w:tcBorders>
          </w:tcPr>
          <w:p w14:paraId="0FDFB635" w14:textId="6269E478" w:rsidR="00C23784" w:rsidRPr="007E0E87" w:rsidRDefault="00C23784" w:rsidP="00C237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E0E87">
              <w:rPr>
                <w:rFonts w:ascii="Microsoft Sans Serif" w:hAnsi="Microsoft Sans Serif" w:cs="Microsoft Sans Serif"/>
                <w:sz w:val="24"/>
                <w:szCs w:val="24"/>
              </w:rPr>
              <w:t xml:space="preserve">All Responses </w:t>
            </w:r>
            <w:r w:rsidR="00576163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5DB6BE" w14:textId="45111244" w:rsidR="00C23784" w:rsidRPr="007E0E87" w:rsidRDefault="00C23784" w:rsidP="00C23784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E0E87">
              <w:rPr>
                <w:rFonts w:ascii="Microsoft Sans Serif" w:hAnsi="Microsoft Sans Serif" w:cs="Microsoft Sans Serif"/>
                <w:sz w:val="24"/>
                <w:szCs w:val="24"/>
              </w:rPr>
              <w:t>322</w:t>
            </w:r>
          </w:p>
        </w:tc>
        <w:tc>
          <w:tcPr>
            <w:tcW w:w="3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38664C" w14:textId="246C8D0E" w:rsidR="00C23784" w:rsidRPr="007E0E87" w:rsidRDefault="00C23784" w:rsidP="00C23784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E0E87">
              <w:rPr>
                <w:rFonts w:ascii="Microsoft Sans Serif" w:hAnsi="Microsoft Sans Serif" w:cs="Microsoft Sans Serif"/>
                <w:sz w:val="24"/>
                <w:szCs w:val="24"/>
              </w:rPr>
              <w:t>141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right w:val="single" w:sz="12" w:space="0" w:color="FFFFFF" w:themeColor="background1"/>
            </w:tcBorders>
          </w:tcPr>
          <w:p w14:paraId="10B95232" w14:textId="204A6E47" w:rsidR="00C23784" w:rsidRPr="007E0E87" w:rsidRDefault="00C23784" w:rsidP="00C23784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E0E87">
              <w:rPr>
                <w:rFonts w:ascii="Microsoft Sans Serif" w:hAnsi="Microsoft Sans Serif" w:cs="Microsoft Sans Serif"/>
                <w:sz w:val="24"/>
                <w:szCs w:val="24"/>
              </w:rPr>
              <w:t>181</w:t>
            </w:r>
          </w:p>
        </w:tc>
      </w:tr>
      <w:tr w:rsidR="00576163" w:rsidRPr="007E0E87" w14:paraId="6818B62C" w14:textId="77777777" w:rsidTr="00576163">
        <w:trPr>
          <w:trHeight w:val="754"/>
        </w:trPr>
        <w:tc>
          <w:tcPr>
            <w:tcW w:w="1839" w:type="dxa"/>
            <w:tcBorders>
              <w:top w:val="single" w:sz="12" w:space="0" w:color="auto"/>
              <w:left w:val="single" w:sz="12" w:space="0" w:color="FFFFFF"/>
              <w:right w:val="single" w:sz="12" w:space="0" w:color="auto"/>
            </w:tcBorders>
          </w:tcPr>
          <w:p w14:paraId="26F7A379" w14:textId="5288EB01" w:rsidR="00C23784" w:rsidRPr="007E0E87" w:rsidRDefault="00C23784" w:rsidP="00C237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E0E87">
              <w:rPr>
                <w:rFonts w:ascii="Microsoft Sans Serif" w:hAnsi="Microsoft Sans Serif" w:cs="Microsoft Sans Serif"/>
                <w:sz w:val="24"/>
                <w:szCs w:val="24"/>
              </w:rPr>
              <w:t>Residents who are not business owners</w:t>
            </w:r>
            <w:r w:rsidR="00576163">
              <w:rPr>
                <w:rFonts w:ascii="Microsoft Sans Serif" w:hAnsi="Microsoft Sans Serif" w:cs="Microsoft Sans Serif"/>
                <w:sz w:val="24"/>
                <w:szCs w:val="24"/>
              </w:rPr>
              <w:t xml:space="preserve"> (Appendix II)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8E3A9E" w14:textId="77777777" w:rsidR="00C23784" w:rsidRPr="007E0E87" w:rsidRDefault="00C23784" w:rsidP="00C23784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6AF12E85" w14:textId="4795BD5C" w:rsidR="00C23784" w:rsidRPr="007E0E87" w:rsidRDefault="00C23784" w:rsidP="00C23784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E0E87">
              <w:rPr>
                <w:rFonts w:ascii="Microsoft Sans Serif" w:hAnsi="Microsoft Sans Serif" w:cs="Microsoft Sans Serif"/>
                <w:sz w:val="24"/>
                <w:szCs w:val="24"/>
              </w:rPr>
              <w:t>229</w:t>
            </w:r>
          </w:p>
        </w:tc>
        <w:tc>
          <w:tcPr>
            <w:tcW w:w="3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838398" w14:textId="77777777" w:rsidR="00C23784" w:rsidRPr="007E0E87" w:rsidRDefault="00C23784" w:rsidP="00C23784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05471C19" w14:textId="296B9D6F" w:rsidR="00C23784" w:rsidRPr="007E0E87" w:rsidRDefault="00C23784" w:rsidP="00C23784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E0E87">
              <w:rPr>
                <w:rFonts w:ascii="Microsoft Sans Serif" w:hAnsi="Microsoft Sans Serif" w:cs="Microsoft Sans Serif"/>
                <w:sz w:val="24"/>
                <w:szCs w:val="24"/>
              </w:rPr>
              <w:t>92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right w:val="single" w:sz="12" w:space="0" w:color="FFFFFF" w:themeColor="background1"/>
            </w:tcBorders>
          </w:tcPr>
          <w:p w14:paraId="16F76D26" w14:textId="77777777" w:rsidR="00C23784" w:rsidRPr="007E0E87" w:rsidRDefault="00C23784" w:rsidP="00C23784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140D94F8" w14:textId="705C10A5" w:rsidR="00C23784" w:rsidRPr="007E0E87" w:rsidRDefault="00C23784" w:rsidP="00C23784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E0E87">
              <w:rPr>
                <w:rFonts w:ascii="Microsoft Sans Serif" w:hAnsi="Microsoft Sans Serif" w:cs="Microsoft Sans Serif"/>
                <w:sz w:val="24"/>
                <w:szCs w:val="24"/>
              </w:rPr>
              <w:t>137</w:t>
            </w:r>
          </w:p>
        </w:tc>
      </w:tr>
      <w:tr w:rsidR="00C23784" w:rsidRPr="007E0E87" w14:paraId="4F794F5E" w14:textId="77777777" w:rsidTr="00576163">
        <w:trPr>
          <w:trHeight w:val="561"/>
        </w:trPr>
        <w:tc>
          <w:tcPr>
            <w:tcW w:w="1839" w:type="dxa"/>
            <w:tcBorders>
              <w:left w:val="single" w:sz="12" w:space="0" w:color="FFFFFF"/>
              <w:right w:val="single" w:sz="12" w:space="0" w:color="auto"/>
            </w:tcBorders>
          </w:tcPr>
          <w:p w14:paraId="53ABB526" w14:textId="77777777" w:rsidR="00C23784" w:rsidRDefault="00C23784" w:rsidP="00C237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E0E87">
              <w:rPr>
                <w:rFonts w:ascii="Microsoft Sans Serif" w:hAnsi="Microsoft Sans Serif" w:cs="Microsoft Sans Serif"/>
                <w:sz w:val="24"/>
                <w:szCs w:val="24"/>
              </w:rPr>
              <w:t xml:space="preserve">Residents who are business owners </w:t>
            </w:r>
          </w:p>
          <w:p w14:paraId="1711AC26" w14:textId="161BB900" w:rsidR="00576163" w:rsidRPr="007E0E87" w:rsidRDefault="00576163" w:rsidP="00C237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(Appendix III) </w:t>
            </w:r>
          </w:p>
        </w:tc>
        <w:tc>
          <w:tcPr>
            <w:tcW w:w="1763" w:type="dxa"/>
            <w:tcBorders>
              <w:left w:val="single" w:sz="12" w:space="0" w:color="auto"/>
              <w:right w:val="single" w:sz="12" w:space="0" w:color="auto"/>
            </w:tcBorders>
          </w:tcPr>
          <w:p w14:paraId="3556413D" w14:textId="77777777" w:rsidR="00C23784" w:rsidRPr="007E0E87" w:rsidRDefault="00C23784" w:rsidP="00C23784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30C43F3E" w14:textId="2D23112A" w:rsidR="00C23784" w:rsidRPr="007E0E87" w:rsidRDefault="00C23784" w:rsidP="00C23784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E0E87">
              <w:rPr>
                <w:rFonts w:ascii="Microsoft Sans Serif" w:hAnsi="Microsoft Sans Serif" w:cs="Microsoft Sans Serif"/>
                <w:sz w:val="24"/>
                <w:szCs w:val="24"/>
              </w:rPr>
              <w:t>44</w:t>
            </w:r>
          </w:p>
        </w:tc>
        <w:tc>
          <w:tcPr>
            <w:tcW w:w="3257" w:type="dxa"/>
            <w:tcBorders>
              <w:left w:val="single" w:sz="12" w:space="0" w:color="auto"/>
              <w:right w:val="single" w:sz="12" w:space="0" w:color="auto"/>
            </w:tcBorders>
          </w:tcPr>
          <w:p w14:paraId="42FB661B" w14:textId="77777777" w:rsidR="00C23784" w:rsidRPr="007E0E87" w:rsidRDefault="00C23784" w:rsidP="00C23784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1C05F271" w14:textId="491197DA" w:rsidR="00C23784" w:rsidRPr="007E0E87" w:rsidRDefault="00C23784" w:rsidP="00C23784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E0E87">
              <w:rPr>
                <w:rFonts w:ascii="Microsoft Sans Serif" w:hAnsi="Microsoft Sans Serif" w:cs="Microsoft Sans Serif"/>
                <w:sz w:val="24"/>
                <w:szCs w:val="24"/>
              </w:rPr>
              <w:t>20</w:t>
            </w:r>
          </w:p>
        </w:tc>
        <w:tc>
          <w:tcPr>
            <w:tcW w:w="2312" w:type="dxa"/>
            <w:tcBorders>
              <w:left w:val="single" w:sz="12" w:space="0" w:color="auto"/>
              <w:right w:val="single" w:sz="12" w:space="0" w:color="FFFFFF" w:themeColor="background1"/>
            </w:tcBorders>
          </w:tcPr>
          <w:p w14:paraId="3B181A16" w14:textId="77777777" w:rsidR="00C23784" w:rsidRPr="007E0E87" w:rsidRDefault="00C23784" w:rsidP="00C23784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2B329B37" w14:textId="4188E077" w:rsidR="00C23784" w:rsidRPr="007E0E87" w:rsidRDefault="00C23784" w:rsidP="00C23784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E0E87">
              <w:rPr>
                <w:rFonts w:ascii="Microsoft Sans Serif" w:hAnsi="Microsoft Sans Serif" w:cs="Microsoft Sans Serif"/>
                <w:sz w:val="24"/>
                <w:szCs w:val="24"/>
              </w:rPr>
              <w:t>24</w:t>
            </w:r>
          </w:p>
        </w:tc>
      </w:tr>
      <w:tr w:rsidR="00C23784" w:rsidRPr="007E0E87" w14:paraId="33686BA6" w14:textId="77777777" w:rsidTr="00576163">
        <w:trPr>
          <w:trHeight w:val="561"/>
        </w:trPr>
        <w:tc>
          <w:tcPr>
            <w:tcW w:w="1839" w:type="dxa"/>
            <w:tcBorders>
              <w:left w:val="single" w:sz="12" w:space="0" w:color="FFFFFF"/>
              <w:right w:val="single" w:sz="12" w:space="0" w:color="auto"/>
            </w:tcBorders>
          </w:tcPr>
          <w:p w14:paraId="7BE6A070" w14:textId="2F8E8343" w:rsidR="00C23784" w:rsidRPr="007E0E87" w:rsidRDefault="00C23784" w:rsidP="00C237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E0E87">
              <w:rPr>
                <w:rFonts w:ascii="Microsoft Sans Serif" w:hAnsi="Microsoft Sans Serif" w:cs="Microsoft Sans Serif"/>
                <w:sz w:val="24"/>
                <w:szCs w:val="24"/>
              </w:rPr>
              <w:t xml:space="preserve">Holiday let owners (non-resident) </w:t>
            </w:r>
            <w:r w:rsidR="00576163">
              <w:rPr>
                <w:rFonts w:ascii="Microsoft Sans Serif" w:hAnsi="Microsoft Sans Serif" w:cs="Microsoft Sans Serif"/>
                <w:sz w:val="24"/>
                <w:szCs w:val="24"/>
              </w:rPr>
              <w:t xml:space="preserve">(Appendix IIII) </w:t>
            </w:r>
          </w:p>
        </w:tc>
        <w:tc>
          <w:tcPr>
            <w:tcW w:w="1763" w:type="dxa"/>
            <w:tcBorders>
              <w:left w:val="single" w:sz="12" w:space="0" w:color="auto"/>
              <w:right w:val="single" w:sz="12" w:space="0" w:color="auto"/>
            </w:tcBorders>
          </w:tcPr>
          <w:p w14:paraId="69B579EF" w14:textId="77777777" w:rsidR="00C23784" w:rsidRPr="007E0E87" w:rsidRDefault="00C23784" w:rsidP="00C23784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6542188E" w14:textId="26AD8434" w:rsidR="00C23784" w:rsidRPr="007E0E87" w:rsidRDefault="00C23784" w:rsidP="00C23784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E0E87">
              <w:rPr>
                <w:rFonts w:ascii="Microsoft Sans Serif" w:hAnsi="Microsoft Sans Serif" w:cs="Microsoft Sans Serif"/>
                <w:sz w:val="24"/>
                <w:szCs w:val="24"/>
              </w:rPr>
              <w:t>28</w:t>
            </w:r>
          </w:p>
        </w:tc>
        <w:tc>
          <w:tcPr>
            <w:tcW w:w="3257" w:type="dxa"/>
            <w:tcBorders>
              <w:left w:val="single" w:sz="12" w:space="0" w:color="auto"/>
              <w:right w:val="single" w:sz="12" w:space="0" w:color="auto"/>
            </w:tcBorders>
          </w:tcPr>
          <w:p w14:paraId="76A485A2" w14:textId="77777777" w:rsidR="00C23784" w:rsidRPr="007E0E87" w:rsidRDefault="00C23784" w:rsidP="00C23784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59A5D9FA" w14:textId="7213A4C1" w:rsidR="00C23784" w:rsidRPr="007E0E87" w:rsidRDefault="00C23784" w:rsidP="00C23784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E0E87">
              <w:rPr>
                <w:rFonts w:ascii="Microsoft Sans Serif" w:hAnsi="Microsoft Sans Serif" w:cs="Microsoft Sans Serif"/>
                <w:sz w:val="24"/>
                <w:szCs w:val="24"/>
              </w:rPr>
              <w:t>22</w:t>
            </w:r>
          </w:p>
        </w:tc>
        <w:tc>
          <w:tcPr>
            <w:tcW w:w="2312" w:type="dxa"/>
            <w:tcBorders>
              <w:left w:val="single" w:sz="12" w:space="0" w:color="auto"/>
              <w:right w:val="single" w:sz="12" w:space="0" w:color="FFFFFF" w:themeColor="background1"/>
            </w:tcBorders>
          </w:tcPr>
          <w:p w14:paraId="56B53786" w14:textId="77777777" w:rsidR="00C23784" w:rsidRPr="007E0E87" w:rsidRDefault="00C23784" w:rsidP="00C23784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4AA83E3C" w14:textId="20A78C11" w:rsidR="00C23784" w:rsidRPr="007E0E87" w:rsidRDefault="00C23784" w:rsidP="00C23784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E0E87">
              <w:rPr>
                <w:rFonts w:ascii="Microsoft Sans Serif" w:hAnsi="Microsoft Sans Serif" w:cs="Microsoft Sans Serif"/>
                <w:sz w:val="24"/>
                <w:szCs w:val="24"/>
              </w:rPr>
              <w:t>6</w:t>
            </w:r>
          </w:p>
        </w:tc>
      </w:tr>
      <w:tr w:rsidR="00576163" w:rsidRPr="007E0E87" w14:paraId="3B92A7C6" w14:textId="77777777" w:rsidTr="00576163">
        <w:trPr>
          <w:trHeight w:val="376"/>
        </w:trPr>
        <w:tc>
          <w:tcPr>
            <w:tcW w:w="1839" w:type="dxa"/>
            <w:tcBorders>
              <w:left w:val="single" w:sz="12" w:space="0" w:color="FFFFFF"/>
              <w:bottom w:val="single" w:sz="12" w:space="0" w:color="FFFFFF"/>
              <w:right w:val="single" w:sz="12" w:space="0" w:color="auto"/>
            </w:tcBorders>
          </w:tcPr>
          <w:p w14:paraId="47F68FB4" w14:textId="3B1DD319" w:rsidR="00C23784" w:rsidRPr="007E0E87" w:rsidRDefault="00C23784" w:rsidP="00C237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E0E87">
              <w:rPr>
                <w:rFonts w:ascii="Microsoft Sans Serif" w:hAnsi="Microsoft Sans Serif" w:cs="Microsoft Sans Serif"/>
                <w:sz w:val="24"/>
                <w:szCs w:val="24"/>
              </w:rPr>
              <w:t xml:space="preserve">Friends &amp; Family </w:t>
            </w:r>
          </w:p>
        </w:tc>
        <w:tc>
          <w:tcPr>
            <w:tcW w:w="1763" w:type="dxa"/>
            <w:tcBorders>
              <w:left w:val="single" w:sz="12" w:space="0" w:color="auto"/>
              <w:bottom w:val="single" w:sz="12" w:space="0" w:color="FFFFFF"/>
              <w:right w:val="single" w:sz="12" w:space="0" w:color="auto"/>
            </w:tcBorders>
          </w:tcPr>
          <w:p w14:paraId="425C6D52" w14:textId="77777777" w:rsidR="00C23784" w:rsidRPr="007E0E87" w:rsidRDefault="00C23784" w:rsidP="00C23784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3F981325" w14:textId="011FF73C" w:rsidR="00C23784" w:rsidRPr="007E0E87" w:rsidRDefault="00C23784" w:rsidP="00C23784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E0E87">
              <w:rPr>
                <w:rFonts w:ascii="Microsoft Sans Serif" w:hAnsi="Microsoft Sans Serif" w:cs="Microsoft Sans Serif"/>
                <w:sz w:val="24"/>
                <w:szCs w:val="24"/>
              </w:rPr>
              <w:t>21</w:t>
            </w:r>
          </w:p>
        </w:tc>
        <w:tc>
          <w:tcPr>
            <w:tcW w:w="3257" w:type="dxa"/>
            <w:tcBorders>
              <w:left w:val="single" w:sz="12" w:space="0" w:color="auto"/>
              <w:bottom w:val="single" w:sz="12" w:space="0" w:color="FFFFFF"/>
              <w:right w:val="single" w:sz="12" w:space="0" w:color="auto"/>
            </w:tcBorders>
          </w:tcPr>
          <w:p w14:paraId="5A6913C4" w14:textId="77777777" w:rsidR="00C23784" w:rsidRPr="007E0E87" w:rsidRDefault="00C23784" w:rsidP="00C23784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58F3C268" w14:textId="6EDAC94A" w:rsidR="00C23784" w:rsidRPr="007E0E87" w:rsidRDefault="00C23784" w:rsidP="00C23784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E0E87">
              <w:rPr>
                <w:rFonts w:ascii="Microsoft Sans Serif" w:hAnsi="Microsoft Sans Serif" w:cs="Microsoft Sans Serif"/>
                <w:sz w:val="24"/>
                <w:szCs w:val="24"/>
              </w:rPr>
              <w:t>7</w:t>
            </w:r>
          </w:p>
        </w:tc>
        <w:tc>
          <w:tcPr>
            <w:tcW w:w="2312" w:type="dxa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DF9EE48" w14:textId="77777777" w:rsidR="00C23784" w:rsidRPr="007E0E87" w:rsidRDefault="00C23784" w:rsidP="00C23784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1A75FDB4" w14:textId="0C283806" w:rsidR="00C23784" w:rsidRPr="007E0E87" w:rsidRDefault="00C23784" w:rsidP="00C23784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E0E87">
              <w:rPr>
                <w:rFonts w:ascii="Microsoft Sans Serif" w:hAnsi="Microsoft Sans Serif" w:cs="Microsoft Sans Serif"/>
                <w:sz w:val="24"/>
                <w:szCs w:val="24"/>
              </w:rPr>
              <w:t>14</w:t>
            </w:r>
          </w:p>
        </w:tc>
      </w:tr>
    </w:tbl>
    <w:p w14:paraId="77B142CB" w14:textId="7A9BC466" w:rsidR="00C23784" w:rsidRDefault="00C23784" w:rsidP="007E0E87">
      <w:pPr>
        <w:rPr>
          <w:rFonts w:ascii="Microsoft Sans Serif" w:hAnsi="Microsoft Sans Serif" w:cs="Microsoft Sans Serif"/>
          <w:sz w:val="24"/>
          <w:szCs w:val="24"/>
        </w:rPr>
      </w:pPr>
    </w:p>
    <w:p w14:paraId="44CA880C" w14:textId="0D2074D2" w:rsidR="007E0E87" w:rsidRDefault="007E0E87" w:rsidP="007E0E87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Each demographic, except non-resident holiday let owners, favoured a more gradual easing of restrictions with continued restriction on non-essential travel. </w:t>
      </w:r>
    </w:p>
    <w:p w14:paraId="76FB014D" w14:textId="00217BD6" w:rsidR="007E0E87" w:rsidRDefault="00576163" w:rsidP="007E0E87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Please see Appendices below for visualisations of the results. </w:t>
      </w:r>
    </w:p>
    <w:p w14:paraId="2F6710F1" w14:textId="107B29D2" w:rsidR="00C91E62" w:rsidRDefault="00576163" w:rsidP="00C91E62">
      <w:pPr>
        <w:rPr>
          <w:rFonts w:ascii="Microsoft Sans Serif" w:hAnsi="Microsoft Sans Serif" w:cs="Microsoft Sans Serif"/>
          <w:b/>
          <w:bCs/>
          <w:u w:val="single"/>
        </w:rPr>
      </w:pPr>
      <w:r>
        <w:rPr>
          <w:rFonts w:ascii="Microsoft Sans Serif" w:hAnsi="Microsoft Sans Serif" w:cs="Microsoft Sans Serif"/>
          <w:b/>
          <w:bCs/>
          <w:noProof/>
          <w:u w:val="single"/>
        </w:rPr>
        <w:lastRenderedPageBreak/>
        <w:drawing>
          <wp:anchor distT="0" distB="0" distL="114300" distR="114300" simplePos="0" relativeHeight="251658240" behindDoc="1" locked="0" layoutInCell="1" allowOverlap="1" wp14:anchorId="51CE5C00" wp14:editId="77005280">
            <wp:simplePos x="0" y="0"/>
            <wp:positionH relativeFrom="page">
              <wp:posOffset>551815</wp:posOffset>
            </wp:positionH>
            <wp:positionV relativeFrom="paragraph">
              <wp:posOffset>279400</wp:posOffset>
            </wp:positionV>
            <wp:extent cx="5585460" cy="4321175"/>
            <wp:effectExtent l="0" t="0" r="0" b="3175"/>
            <wp:wrapTight wrapText="bothSides">
              <wp:wrapPolygon edited="0">
                <wp:start x="0" y="0"/>
                <wp:lineTo x="0" y="21521"/>
                <wp:lineTo x="21512" y="21521"/>
                <wp:lineTo x="21512" y="0"/>
                <wp:lineTo x="0" y="0"/>
              </wp:wrapPolygon>
            </wp:wrapTight>
            <wp:docPr id="1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3" r="20388"/>
                    <a:stretch/>
                  </pic:blipFill>
                  <pic:spPr bwMode="auto">
                    <a:xfrm>
                      <a:off x="0" y="0"/>
                      <a:ext cx="5585460" cy="432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163">
        <w:rPr>
          <w:rFonts w:ascii="Microsoft Sans Serif" w:hAnsi="Microsoft Sans Serif" w:cs="Microsoft Sans Serif"/>
          <w:b/>
          <w:bCs/>
          <w:u w:val="single"/>
        </w:rPr>
        <w:t xml:space="preserve">Appendix I – Total Responses </w:t>
      </w:r>
    </w:p>
    <w:p w14:paraId="6000194E" w14:textId="5543A2A6" w:rsidR="00576163" w:rsidRDefault="00576163" w:rsidP="00C91E62">
      <w:pPr>
        <w:rPr>
          <w:rFonts w:ascii="Microsoft Sans Serif" w:hAnsi="Microsoft Sans Serif" w:cs="Microsoft Sans Serif"/>
          <w:b/>
          <w:bCs/>
          <w:u w:val="single"/>
        </w:rPr>
      </w:pPr>
    </w:p>
    <w:p w14:paraId="1EC39FAF" w14:textId="51D1CD32" w:rsidR="00576163" w:rsidRDefault="00576163" w:rsidP="00C91E62">
      <w:pPr>
        <w:rPr>
          <w:rFonts w:ascii="Microsoft Sans Serif" w:hAnsi="Microsoft Sans Serif" w:cs="Microsoft Sans Serif"/>
          <w:b/>
          <w:bCs/>
          <w:u w:val="single"/>
        </w:rPr>
      </w:pPr>
    </w:p>
    <w:p w14:paraId="78B9E215" w14:textId="0E23478D" w:rsidR="00576163" w:rsidRDefault="00576163" w:rsidP="00C91E62">
      <w:pPr>
        <w:rPr>
          <w:rFonts w:ascii="Microsoft Sans Serif" w:hAnsi="Microsoft Sans Serif" w:cs="Microsoft Sans Serif"/>
          <w:b/>
          <w:bCs/>
          <w:u w:val="single"/>
        </w:rPr>
      </w:pPr>
    </w:p>
    <w:p w14:paraId="7A7CB2E0" w14:textId="1CE74698" w:rsidR="00576163" w:rsidRDefault="00576163" w:rsidP="00C91E62">
      <w:pPr>
        <w:rPr>
          <w:rFonts w:ascii="Microsoft Sans Serif" w:hAnsi="Microsoft Sans Serif" w:cs="Microsoft Sans Serif"/>
          <w:b/>
          <w:bCs/>
          <w:u w:val="single"/>
        </w:rPr>
      </w:pPr>
    </w:p>
    <w:p w14:paraId="6F8BFB93" w14:textId="683F25BE" w:rsidR="00576163" w:rsidRDefault="00576163" w:rsidP="00C91E62">
      <w:pPr>
        <w:rPr>
          <w:rFonts w:ascii="Microsoft Sans Serif" w:hAnsi="Microsoft Sans Serif" w:cs="Microsoft Sans Serif"/>
          <w:b/>
          <w:bCs/>
          <w:u w:val="single"/>
        </w:rPr>
      </w:pPr>
    </w:p>
    <w:p w14:paraId="5997E73A" w14:textId="338E89EB" w:rsidR="00576163" w:rsidRDefault="00576163" w:rsidP="00C91E62">
      <w:pPr>
        <w:rPr>
          <w:rFonts w:ascii="Microsoft Sans Serif" w:hAnsi="Microsoft Sans Serif" w:cs="Microsoft Sans Serif"/>
          <w:b/>
          <w:bCs/>
          <w:u w:val="single"/>
        </w:rPr>
      </w:pPr>
    </w:p>
    <w:p w14:paraId="7E4DBAC8" w14:textId="070396A0" w:rsidR="00576163" w:rsidRDefault="00576163" w:rsidP="00C91E62">
      <w:pPr>
        <w:rPr>
          <w:rFonts w:ascii="Microsoft Sans Serif" w:hAnsi="Microsoft Sans Serif" w:cs="Microsoft Sans Serif"/>
          <w:b/>
          <w:bCs/>
          <w:u w:val="single"/>
        </w:rPr>
      </w:pPr>
    </w:p>
    <w:p w14:paraId="2FB6374A" w14:textId="7C73F070" w:rsidR="00576163" w:rsidRDefault="00576163" w:rsidP="00C91E62">
      <w:pPr>
        <w:rPr>
          <w:rFonts w:ascii="Microsoft Sans Serif" w:hAnsi="Microsoft Sans Serif" w:cs="Microsoft Sans Serif"/>
          <w:b/>
          <w:bCs/>
          <w:u w:val="single"/>
        </w:rPr>
      </w:pPr>
    </w:p>
    <w:p w14:paraId="06DC01BC" w14:textId="413B4551" w:rsidR="00576163" w:rsidRDefault="00576163" w:rsidP="00C91E62">
      <w:pPr>
        <w:rPr>
          <w:rFonts w:ascii="Microsoft Sans Serif" w:hAnsi="Microsoft Sans Serif" w:cs="Microsoft Sans Serif"/>
          <w:b/>
          <w:bCs/>
          <w:u w:val="single"/>
        </w:rPr>
      </w:pPr>
    </w:p>
    <w:p w14:paraId="19DEFADC" w14:textId="1A4A99DF" w:rsidR="00576163" w:rsidRDefault="00576163" w:rsidP="00C91E62">
      <w:pPr>
        <w:rPr>
          <w:rFonts w:ascii="Microsoft Sans Serif" w:hAnsi="Microsoft Sans Serif" w:cs="Microsoft Sans Serif"/>
          <w:b/>
          <w:bCs/>
          <w:u w:val="single"/>
        </w:rPr>
      </w:pPr>
    </w:p>
    <w:p w14:paraId="3AFDD295" w14:textId="36847E6A" w:rsidR="00576163" w:rsidRDefault="00576163" w:rsidP="00C91E62">
      <w:pPr>
        <w:rPr>
          <w:rFonts w:ascii="Microsoft Sans Serif" w:hAnsi="Microsoft Sans Serif" w:cs="Microsoft Sans Serif"/>
          <w:b/>
          <w:bCs/>
          <w:u w:val="single"/>
        </w:rPr>
      </w:pPr>
    </w:p>
    <w:p w14:paraId="13F26BA6" w14:textId="56186930" w:rsidR="00576163" w:rsidRDefault="00576163" w:rsidP="00C91E62">
      <w:pPr>
        <w:rPr>
          <w:rFonts w:ascii="Microsoft Sans Serif" w:hAnsi="Microsoft Sans Serif" w:cs="Microsoft Sans Serif"/>
          <w:b/>
          <w:bCs/>
          <w:u w:val="single"/>
        </w:rPr>
      </w:pPr>
    </w:p>
    <w:p w14:paraId="018844E3" w14:textId="63C761E6" w:rsidR="00576163" w:rsidRDefault="00576163" w:rsidP="00C91E62">
      <w:pPr>
        <w:rPr>
          <w:rFonts w:ascii="Microsoft Sans Serif" w:hAnsi="Microsoft Sans Serif" w:cs="Microsoft Sans Serif"/>
          <w:b/>
          <w:bCs/>
          <w:u w:val="single"/>
        </w:rPr>
      </w:pPr>
    </w:p>
    <w:p w14:paraId="73039F8D" w14:textId="6D0CD836" w:rsidR="00576163" w:rsidRDefault="00576163" w:rsidP="00C91E62">
      <w:pPr>
        <w:rPr>
          <w:rFonts w:ascii="Microsoft Sans Serif" w:hAnsi="Microsoft Sans Serif" w:cs="Microsoft Sans Serif"/>
          <w:b/>
          <w:bCs/>
          <w:u w:val="single"/>
        </w:rPr>
      </w:pPr>
    </w:p>
    <w:p w14:paraId="20CF705A" w14:textId="5115F35A" w:rsidR="00576163" w:rsidRDefault="00576163" w:rsidP="00C91E62">
      <w:pPr>
        <w:rPr>
          <w:rFonts w:ascii="Microsoft Sans Serif" w:hAnsi="Microsoft Sans Serif" w:cs="Microsoft Sans Serif"/>
          <w:b/>
          <w:bCs/>
          <w:u w:val="single"/>
        </w:rPr>
      </w:pPr>
    </w:p>
    <w:p w14:paraId="5225A88C" w14:textId="09BFEF6F" w:rsidR="00576163" w:rsidRDefault="00576163" w:rsidP="00C91E62">
      <w:pPr>
        <w:rPr>
          <w:rFonts w:ascii="Microsoft Sans Serif" w:hAnsi="Microsoft Sans Serif" w:cs="Microsoft Sans Serif"/>
          <w:b/>
          <w:bCs/>
          <w:u w:val="single"/>
        </w:rPr>
      </w:pPr>
    </w:p>
    <w:p w14:paraId="2351305F" w14:textId="7CB96514" w:rsidR="00576163" w:rsidRDefault="00576163" w:rsidP="00C91E62">
      <w:pPr>
        <w:rPr>
          <w:rFonts w:ascii="Microsoft Sans Serif" w:hAnsi="Microsoft Sans Serif" w:cs="Microsoft Sans Serif"/>
          <w:b/>
          <w:bCs/>
          <w:u w:val="single"/>
        </w:rPr>
      </w:pPr>
    </w:p>
    <w:p w14:paraId="6F67B5C9" w14:textId="161D15CA" w:rsidR="00576163" w:rsidRDefault="00BE2D05" w:rsidP="00C91E62">
      <w:pPr>
        <w:rPr>
          <w:rFonts w:ascii="Microsoft Sans Serif" w:hAnsi="Microsoft Sans Serif" w:cs="Microsoft Sans Serif"/>
          <w:b/>
          <w:bCs/>
          <w:u w:val="single"/>
        </w:rPr>
      </w:pPr>
      <w:r>
        <w:rPr>
          <w:rFonts w:ascii="Microsoft Sans Serif" w:hAnsi="Microsoft Sans Serif" w:cs="Microsoft Sans Serif"/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299E17E1" wp14:editId="22D3A153">
            <wp:simplePos x="0" y="0"/>
            <wp:positionH relativeFrom="column">
              <wp:posOffset>-35817</wp:posOffset>
            </wp:positionH>
            <wp:positionV relativeFrom="paragraph">
              <wp:posOffset>234334</wp:posOffset>
            </wp:positionV>
            <wp:extent cx="5350321" cy="3174818"/>
            <wp:effectExtent l="0" t="0" r="3175" b="6985"/>
            <wp:wrapTight wrapText="bothSides">
              <wp:wrapPolygon edited="0">
                <wp:start x="0" y="0"/>
                <wp:lineTo x="0" y="21518"/>
                <wp:lineTo x="21536" y="21518"/>
                <wp:lineTo x="21536" y="0"/>
                <wp:lineTo x="0" y="0"/>
              </wp:wrapPolygon>
            </wp:wrapTight>
            <wp:docPr id="2" name="Picture 2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8" r="21331"/>
                    <a:stretch/>
                  </pic:blipFill>
                  <pic:spPr bwMode="auto">
                    <a:xfrm>
                      <a:off x="0" y="0"/>
                      <a:ext cx="5350321" cy="3174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163">
        <w:rPr>
          <w:rFonts w:ascii="Microsoft Sans Serif" w:hAnsi="Microsoft Sans Serif" w:cs="Microsoft Sans Serif"/>
          <w:b/>
          <w:bCs/>
          <w:u w:val="single"/>
        </w:rPr>
        <w:t xml:space="preserve">Appendix II – </w:t>
      </w:r>
      <w:r>
        <w:rPr>
          <w:rFonts w:ascii="Microsoft Sans Serif" w:hAnsi="Microsoft Sans Serif" w:cs="Microsoft Sans Serif"/>
          <w:b/>
          <w:bCs/>
          <w:u w:val="single"/>
        </w:rPr>
        <w:t>Non-Business Owner Resident</w:t>
      </w:r>
      <w:r w:rsidR="00576163">
        <w:rPr>
          <w:rFonts w:ascii="Microsoft Sans Serif" w:hAnsi="Microsoft Sans Serif" w:cs="Microsoft Sans Serif"/>
          <w:b/>
          <w:bCs/>
          <w:u w:val="single"/>
        </w:rPr>
        <w:t xml:space="preserve"> Responses </w:t>
      </w:r>
    </w:p>
    <w:p w14:paraId="05B64D2B" w14:textId="4509275C" w:rsidR="00576163" w:rsidRDefault="00576163" w:rsidP="00C91E62">
      <w:pPr>
        <w:rPr>
          <w:rFonts w:ascii="Microsoft Sans Serif" w:hAnsi="Microsoft Sans Serif" w:cs="Microsoft Sans Serif"/>
          <w:b/>
          <w:bCs/>
          <w:u w:val="single"/>
        </w:rPr>
      </w:pPr>
    </w:p>
    <w:p w14:paraId="23E8B586" w14:textId="77777777" w:rsidR="00576163" w:rsidRDefault="00576163" w:rsidP="00C91E62">
      <w:pPr>
        <w:rPr>
          <w:rFonts w:ascii="Microsoft Sans Serif" w:hAnsi="Microsoft Sans Serif" w:cs="Microsoft Sans Serif"/>
          <w:b/>
          <w:bCs/>
          <w:u w:val="single"/>
        </w:rPr>
      </w:pPr>
    </w:p>
    <w:p w14:paraId="69363B99" w14:textId="12C1A72F" w:rsidR="00BE2D05" w:rsidRDefault="00BE2D05" w:rsidP="00C91E62">
      <w:pPr>
        <w:rPr>
          <w:rFonts w:ascii="Microsoft Sans Serif" w:hAnsi="Microsoft Sans Serif" w:cs="Microsoft Sans Serif"/>
          <w:b/>
          <w:bCs/>
          <w:u w:val="single"/>
        </w:rPr>
      </w:pPr>
    </w:p>
    <w:p w14:paraId="2A377251" w14:textId="77777777" w:rsidR="00BE2D05" w:rsidRDefault="00BE2D05">
      <w:pPr>
        <w:rPr>
          <w:rFonts w:ascii="Microsoft Sans Serif" w:hAnsi="Microsoft Sans Serif" w:cs="Microsoft Sans Serif"/>
          <w:b/>
          <w:bCs/>
          <w:u w:val="single"/>
        </w:rPr>
      </w:pPr>
      <w:r>
        <w:rPr>
          <w:rFonts w:ascii="Microsoft Sans Serif" w:hAnsi="Microsoft Sans Serif" w:cs="Microsoft Sans Serif"/>
          <w:b/>
          <w:bCs/>
          <w:u w:val="single"/>
        </w:rPr>
        <w:br w:type="page"/>
      </w:r>
    </w:p>
    <w:p w14:paraId="5ECA523C" w14:textId="0945A8E6" w:rsidR="00576163" w:rsidRDefault="00BE2D05" w:rsidP="00C91E62">
      <w:pPr>
        <w:rPr>
          <w:rFonts w:ascii="Microsoft Sans Serif" w:hAnsi="Microsoft Sans Serif" w:cs="Microsoft Sans Serif"/>
          <w:b/>
          <w:bCs/>
          <w:u w:val="single"/>
        </w:rPr>
      </w:pPr>
      <w:r>
        <w:rPr>
          <w:rFonts w:ascii="Microsoft Sans Serif" w:hAnsi="Microsoft Sans Serif" w:cs="Microsoft Sans Serif"/>
          <w:b/>
          <w:bCs/>
          <w:noProof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7E9CDEAB" wp14:editId="506D234B">
            <wp:simplePos x="0" y="0"/>
            <wp:positionH relativeFrom="margin">
              <wp:align>left</wp:align>
            </wp:positionH>
            <wp:positionV relativeFrom="paragraph">
              <wp:posOffset>271145</wp:posOffset>
            </wp:positionV>
            <wp:extent cx="5585460" cy="3314700"/>
            <wp:effectExtent l="0" t="0" r="0" b="0"/>
            <wp:wrapTight wrapText="bothSides">
              <wp:wrapPolygon edited="0">
                <wp:start x="0" y="0"/>
                <wp:lineTo x="0" y="21476"/>
                <wp:lineTo x="21512" y="21476"/>
                <wp:lineTo x="21512" y="0"/>
                <wp:lineTo x="0" y="0"/>
              </wp:wrapPolygon>
            </wp:wrapTight>
            <wp:docPr id="3" name="Picture 3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ar char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4" r="20863"/>
                    <a:stretch/>
                  </pic:blipFill>
                  <pic:spPr bwMode="auto">
                    <a:xfrm>
                      <a:off x="0" y="0"/>
                      <a:ext cx="5585460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crosoft Sans Serif" w:hAnsi="Microsoft Sans Serif" w:cs="Microsoft Sans Serif"/>
          <w:b/>
          <w:bCs/>
          <w:u w:val="single"/>
        </w:rPr>
        <w:t xml:space="preserve">Appendix III – Tourism Business Owner Responses </w:t>
      </w:r>
    </w:p>
    <w:p w14:paraId="7C2CC93F" w14:textId="2CDF301E" w:rsidR="00BE2D05" w:rsidRDefault="00BE2D05" w:rsidP="00C91E62">
      <w:pPr>
        <w:rPr>
          <w:rFonts w:ascii="Microsoft Sans Serif" w:hAnsi="Microsoft Sans Serif" w:cs="Microsoft Sans Serif"/>
          <w:b/>
          <w:bCs/>
          <w:u w:val="single"/>
        </w:rPr>
      </w:pPr>
    </w:p>
    <w:p w14:paraId="135CB857" w14:textId="05EFE6BE" w:rsidR="00BE2D05" w:rsidRDefault="00BE2D05" w:rsidP="00C91E62">
      <w:pPr>
        <w:rPr>
          <w:rFonts w:ascii="Microsoft Sans Serif" w:hAnsi="Microsoft Sans Serif" w:cs="Microsoft Sans Serif"/>
          <w:b/>
          <w:bCs/>
          <w:u w:val="single"/>
        </w:rPr>
      </w:pPr>
      <w:r>
        <w:rPr>
          <w:rFonts w:ascii="Microsoft Sans Serif" w:hAnsi="Microsoft Sans Serif" w:cs="Microsoft Sans Serif"/>
          <w:b/>
          <w:bCs/>
          <w:u w:val="single"/>
        </w:rPr>
        <w:t xml:space="preserve">Appendix IIII – Holiday Let Owners (Non-Resident) </w:t>
      </w:r>
    </w:p>
    <w:p w14:paraId="5F73A91D" w14:textId="6E1284BD" w:rsidR="00BE2D05" w:rsidRPr="00576163" w:rsidRDefault="00BE2D05" w:rsidP="00C91E62">
      <w:pPr>
        <w:rPr>
          <w:rFonts w:ascii="Microsoft Sans Serif" w:hAnsi="Microsoft Sans Serif" w:cs="Microsoft Sans Serif"/>
          <w:b/>
          <w:bCs/>
          <w:u w:val="single"/>
        </w:rPr>
      </w:pPr>
      <w:r>
        <w:rPr>
          <w:rFonts w:ascii="Microsoft Sans Serif" w:hAnsi="Microsoft Sans Serif" w:cs="Microsoft Sans Serif"/>
          <w:b/>
          <w:bCs/>
          <w:noProof/>
          <w:u w:val="single"/>
        </w:rPr>
        <w:drawing>
          <wp:inline distT="0" distB="0" distL="0" distR="0" wp14:anchorId="577B3122" wp14:editId="33AB00CF">
            <wp:extent cx="5843467" cy="3449370"/>
            <wp:effectExtent l="0" t="0" r="5080" b="0"/>
            <wp:docPr id="4" name="Picture 4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bar char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2" r="20539"/>
                    <a:stretch/>
                  </pic:blipFill>
                  <pic:spPr bwMode="auto">
                    <a:xfrm>
                      <a:off x="0" y="0"/>
                      <a:ext cx="5866621" cy="3463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2D05" w:rsidRPr="00576163" w:rsidSect="00576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C59A2"/>
    <w:multiLevelType w:val="hybridMultilevel"/>
    <w:tmpl w:val="49FE185E"/>
    <w:lvl w:ilvl="0" w:tplc="F618B28C">
      <w:numFmt w:val="bullet"/>
      <w:lvlText w:val=""/>
      <w:lvlJc w:val="left"/>
      <w:pPr>
        <w:ind w:left="720" w:hanging="360"/>
      </w:pPr>
      <w:rPr>
        <w:rFonts w:ascii="Symbol" w:eastAsiaTheme="minorHAnsi" w:hAnsi="Symbol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47986"/>
    <w:multiLevelType w:val="hybridMultilevel"/>
    <w:tmpl w:val="4956E652"/>
    <w:lvl w:ilvl="0" w:tplc="7DC0C28E"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E784C"/>
    <w:multiLevelType w:val="hybridMultilevel"/>
    <w:tmpl w:val="28826936"/>
    <w:lvl w:ilvl="0" w:tplc="71CC0B20">
      <w:numFmt w:val="bullet"/>
      <w:lvlText w:val=""/>
      <w:lvlJc w:val="left"/>
      <w:pPr>
        <w:ind w:left="720" w:hanging="360"/>
      </w:pPr>
      <w:rPr>
        <w:rFonts w:ascii="Symbol" w:eastAsiaTheme="minorHAnsi" w:hAnsi="Symbol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62"/>
    <w:rsid w:val="00046AC4"/>
    <w:rsid w:val="0011639A"/>
    <w:rsid w:val="00147E13"/>
    <w:rsid w:val="00363FA2"/>
    <w:rsid w:val="00421CA7"/>
    <w:rsid w:val="00462701"/>
    <w:rsid w:val="00576163"/>
    <w:rsid w:val="005A7B0F"/>
    <w:rsid w:val="005E0098"/>
    <w:rsid w:val="007526A8"/>
    <w:rsid w:val="007E0E87"/>
    <w:rsid w:val="0099248C"/>
    <w:rsid w:val="00B1058F"/>
    <w:rsid w:val="00BE2D05"/>
    <w:rsid w:val="00C23784"/>
    <w:rsid w:val="00C91E62"/>
    <w:rsid w:val="00D2709F"/>
    <w:rsid w:val="00D6678C"/>
    <w:rsid w:val="00DC351C"/>
    <w:rsid w:val="00E8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3CC8"/>
  <w15:chartTrackingRefBased/>
  <w15:docId w15:val="{0BEDD085-60A5-4FA9-A023-4A0885F6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E62"/>
    <w:pPr>
      <w:ind w:left="720"/>
      <w:contextualSpacing/>
    </w:pPr>
  </w:style>
  <w:style w:type="table" w:styleId="TableGrid">
    <w:name w:val="Table Grid"/>
    <w:basedOn w:val="TableNormal"/>
    <w:uiPriority w:val="39"/>
    <w:rsid w:val="00C2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Iona [hsicamp2]</dc:creator>
  <cp:keywords/>
  <dc:description/>
  <cp:lastModifiedBy>Campbell, Iona [hsicamp2]</cp:lastModifiedBy>
  <cp:revision>2</cp:revision>
  <cp:lastPrinted>2021-03-21T19:23:00Z</cp:lastPrinted>
  <dcterms:created xsi:type="dcterms:W3CDTF">2021-03-22T00:49:00Z</dcterms:created>
  <dcterms:modified xsi:type="dcterms:W3CDTF">2021-03-22T00:49:00Z</dcterms:modified>
</cp:coreProperties>
</file>